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233"/>
        <w:gridCol w:w="1250"/>
        <w:gridCol w:w="3437"/>
        <w:gridCol w:w="5068"/>
      </w:tblGrid>
      <w:tr w:rsidR="00187290" w:rsidRPr="00C31925" w14:paraId="5AEEF4F3" w14:textId="77777777" w:rsidTr="00B62658">
        <w:tc>
          <w:tcPr>
            <w:tcW w:w="5920" w:type="dxa"/>
            <w:gridSpan w:val="3"/>
            <w:vMerge w:val="restart"/>
            <w:shd w:val="clear" w:color="auto" w:fill="31849B"/>
            <w:vAlign w:val="center"/>
          </w:tcPr>
          <w:p w14:paraId="7E6E6723" w14:textId="0301FBEC" w:rsidR="00187290" w:rsidRPr="009F416F" w:rsidRDefault="00187290" w:rsidP="008D14AC">
            <w:pPr>
              <w:rPr>
                <w:color w:val="FFFFFF"/>
              </w:rPr>
            </w:pPr>
            <w:r w:rsidRPr="009F416F">
              <w:rPr>
                <w:rFonts w:ascii="Arial" w:hAnsi="Arial" w:cs="Arial"/>
                <w:color w:val="FFFFFF"/>
                <w:sz w:val="28"/>
                <w:szCs w:val="28"/>
              </w:rPr>
              <w:t>ZLATIN SARASTOV</w:t>
            </w:r>
            <w:r w:rsidRPr="009F416F">
              <w:rPr>
                <w:rFonts w:ascii="Arial" w:hAnsi="Arial" w:cs="Arial"/>
                <w:color w:val="FFFFFF"/>
              </w:rPr>
              <w:t xml:space="preserve">, </w:t>
            </w:r>
            <w:r w:rsidRPr="009F416F">
              <w:rPr>
                <w:rFonts w:ascii="Arial" w:hAnsi="Arial" w:cs="Arial"/>
                <w:color w:val="FFFFFF"/>
                <w:sz w:val="28"/>
                <w:szCs w:val="28"/>
              </w:rPr>
              <w:t xml:space="preserve">PhD, </w:t>
            </w:r>
            <w:proofErr w:type="spellStart"/>
            <w:r w:rsidRPr="009F416F">
              <w:rPr>
                <w:rFonts w:ascii="Arial" w:hAnsi="Arial" w:cs="Arial"/>
                <w:color w:val="FFFFFF"/>
                <w:sz w:val="28"/>
                <w:szCs w:val="28"/>
              </w:rPr>
              <w:t>MFin</w:t>
            </w:r>
            <w:proofErr w:type="spellEnd"/>
          </w:p>
        </w:tc>
        <w:tc>
          <w:tcPr>
            <w:tcW w:w="5068" w:type="dxa"/>
            <w:shd w:val="clear" w:color="auto" w:fill="31849B"/>
          </w:tcPr>
          <w:p w14:paraId="40320B79" w14:textId="739BDEDE" w:rsidR="00187290" w:rsidRPr="009F416F" w:rsidRDefault="009A4CCC" w:rsidP="008D14AC">
            <w:pPr>
              <w:rPr>
                <w:color w:val="FFFFFF"/>
              </w:rPr>
            </w:pPr>
            <w:r>
              <w:rPr>
                <w:color w:val="FFFFFF"/>
              </w:rPr>
              <w:t xml:space="preserve">Sofia, </w:t>
            </w:r>
            <w:r w:rsidR="00187290" w:rsidRPr="009F416F">
              <w:rPr>
                <w:color w:val="FFFFFF"/>
              </w:rPr>
              <w:t>Bulgaria</w:t>
            </w:r>
          </w:p>
        </w:tc>
      </w:tr>
      <w:tr w:rsidR="00187290" w14:paraId="15AB11C6" w14:textId="77777777" w:rsidTr="00B62658">
        <w:tc>
          <w:tcPr>
            <w:tcW w:w="5920" w:type="dxa"/>
            <w:gridSpan w:val="3"/>
            <w:vMerge/>
            <w:shd w:val="clear" w:color="auto" w:fill="31849B"/>
          </w:tcPr>
          <w:p w14:paraId="42E72EEA" w14:textId="77777777" w:rsidR="00187290" w:rsidRPr="009F416F" w:rsidRDefault="00187290" w:rsidP="008D14AC">
            <w:pPr>
              <w:rPr>
                <w:color w:val="FFFFFF"/>
              </w:rPr>
            </w:pPr>
          </w:p>
        </w:tc>
        <w:tc>
          <w:tcPr>
            <w:tcW w:w="5068" w:type="dxa"/>
            <w:shd w:val="clear" w:color="auto" w:fill="31849B"/>
          </w:tcPr>
          <w:p w14:paraId="2B5FCF93" w14:textId="6C7796F5" w:rsidR="00187290" w:rsidRPr="009F416F" w:rsidRDefault="00187290" w:rsidP="008D14AC">
            <w:pPr>
              <w:rPr>
                <w:color w:val="FFFFFF"/>
              </w:rPr>
            </w:pPr>
            <w:r w:rsidRPr="009F416F">
              <w:rPr>
                <w:color w:val="FFFFFF"/>
              </w:rPr>
              <w:t xml:space="preserve">+359 899 966 958, </w:t>
            </w:r>
            <w:hyperlink r:id="rId5" w:history="1">
              <w:r w:rsidRPr="009F416F">
                <w:rPr>
                  <w:rStyle w:val="Hyperlink"/>
                  <w:color w:val="FFFFFF"/>
                </w:rPr>
                <w:t>zlatin@sarastov.com</w:t>
              </w:r>
            </w:hyperlink>
          </w:p>
        </w:tc>
      </w:tr>
      <w:tr w:rsidR="00322B78" w14:paraId="1498BA1F" w14:textId="77777777" w:rsidTr="00B62658">
        <w:tc>
          <w:tcPr>
            <w:tcW w:w="1233" w:type="dxa"/>
            <w:shd w:val="clear" w:color="auto" w:fill="auto"/>
          </w:tcPr>
          <w:p w14:paraId="5ED58476" w14:textId="77777777" w:rsidR="0067349B" w:rsidRDefault="0067349B" w:rsidP="008D14AC"/>
        </w:tc>
        <w:tc>
          <w:tcPr>
            <w:tcW w:w="1250" w:type="dxa"/>
            <w:shd w:val="clear" w:color="auto" w:fill="auto"/>
          </w:tcPr>
          <w:p w14:paraId="1C18958B" w14:textId="77777777" w:rsidR="0067349B" w:rsidRDefault="0067349B" w:rsidP="008D14AC"/>
        </w:tc>
        <w:tc>
          <w:tcPr>
            <w:tcW w:w="8505" w:type="dxa"/>
            <w:gridSpan w:val="2"/>
            <w:shd w:val="clear" w:color="auto" w:fill="auto"/>
          </w:tcPr>
          <w:p w14:paraId="40479129" w14:textId="39FF8EDD" w:rsidR="0067349B" w:rsidRDefault="0067349B" w:rsidP="008D14AC"/>
        </w:tc>
      </w:tr>
      <w:tr w:rsidR="009F416F" w:rsidRPr="001D7278" w14:paraId="57B43AF2" w14:textId="77777777" w:rsidTr="00B62658">
        <w:tc>
          <w:tcPr>
            <w:tcW w:w="10988" w:type="dxa"/>
            <w:gridSpan w:val="4"/>
            <w:tcBorders>
              <w:bottom w:val="single" w:sz="4" w:space="0" w:color="auto"/>
            </w:tcBorders>
            <w:shd w:val="clear" w:color="auto" w:fill="D9D9D9"/>
          </w:tcPr>
          <w:p w14:paraId="465F7910" w14:textId="09AD72F1" w:rsidR="00B74824" w:rsidRPr="001D7278" w:rsidRDefault="000374BF" w:rsidP="000374BF">
            <w:pPr>
              <w:rPr>
                <w:b/>
                <w:bCs/>
              </w:rPr>
            </w:pPr>
            <w:r>
              <w:rPr>
                <w:b/>
                <w:bCs/>
              </w:rPr>
              <w:t>ACADEMIC</w:t>
            </w:r>
            <w:r w:rsidR="006C004C">
              <w:rPr>
                <w:b/>
                <w:bCs/>
              </w:rPr>
              <w:t>,</w:t>
            </w:r>
            <w:r>
              <w:rPr>
                <w:b/>
                <w:bCs/>
              </w:rPr>
              <w:t xml:space="preserve"> </w:t>
            </w:r>
            <w:r w:rsidR="006C004C">
              <w:rPr>
                <w:b/>
                <w:bCs/>
              </w:rPr>
              <w:t xml:space="preserve">LECTURING AND READING </w:t>
            </w:r>
            <w:r>
              <w:rPr>
                <w:b/>
                <w:bCs/>
              </w:rPr>
              <w:t>EXPERIENCE</w:t>
            </w:r>
          </w:p>
        </w:tc>
      </w:tr>
      <w:tr w:rsidR="00C31925" w:rsidRPr="00322B78" w14:paraId="36F6652C" w14:textId="77777777" w:rsidTr="00B62658">
        <w:tc>
          <w:tcPr>
            <w:tcW w:w="1233" w:type="dxa"/>
            <w:tcBorders>
              <w:top w:val="single" w:sz="4" w:space="0" w:color="auto"/>
            </w:tcBorders>
            <w:shd w:val="clear" w:color="auto" w:fill="auto"/>
          </w:tcPr>
          <w:p w14:paraId="6AE48237" w14:textId="25EA131D" w:rsidR="00C31925" w:rsidRPr="006838D8" w:rsidRDefault="00C31925" w:rsidP="0067349B">
            <w:pPr>
              <w:rPr>
                <w:caps/>
              </w:rPr>
            </w:pPr>
            <w:r w:rsidRPr="006838D8">
              <w:rPr>
                <w:caps/>
              </w:rPr>
              <w:t>2011-</w:t>
            </w:r>
          </w:p>
        </w:tc>
        <w:tc>
          <w:tcPr>
            <w:tcW w:w="9755" w:type="dxa"/>
            <w:gridSpan w:val="3"/>
            <w:tcBorders>
              <w:top w:val="single" w:sz="4" w:space="0" w:color="auto"/>
            </w:tcBorders>
            <w:shd w:val="clear" w:color="auto" w:fill="auto"/>
          </w:tcPr>
          <w:p w14:paraId="5B646EAA" w14:textId="3D239C77" w:rsidR="00C31925" w:rsidRPr="00322B78" w:rsidRDefault="00C31925" w:rsidP="0067349B">
            <w:pPr>
              <w:rPr>
                <w:b/>
                <w:bCs/>
                <w:caps/>
              </w:rPr>
            </w:pPr>
            <w:r w:rsidRPr="00322B78">
              <w:rPr>
                <w:b/>
                <w:bCs/>
                <w:caps/>
              </w:rPr>
              <w:t>University of National and World Economy, Sofia</w:t>
            </w:r>
          </w:p>
        </w:tc>
      </w:tr>
      <w:tr w:rsidR="00C31925" w:rsidRPr="00C7706B" w14:paraId="2E3B0B7A" w14:textId="77777777" w:rsidTr="00B62658">
        <w:tc>
          <w:tcPr>
            <w:tcW w:w="1233" w:type="dxa"/>
            <w:tcBorders>
              <w:bottom w:val="single" w:sz="4" w:space="0" w:color="auto"/>
            </w:tcBorders>
            <w:shd w:val="clear" w:color="auto" w:fill="auto"/>
          </w:tcPr>
          <w:p w14:paraId="681C48C8" w14:textId="77777777" w:rsidR="00C31925" w:rsidRPr="00C7706B" w:rsidRDefault="00C31925" w:rsidP="0067349B"/>
        </w:tc>
        <w:tc>
          <w:tcPr>
            <w:tcW w:w="9755" w:type="dxa"/>
            <w:gridSpan w:val="3"/>
            <w:tcBorders>
              <w:bottom w:val="single" w:sz="4" w:space="0" w:color="auto"/>
            </w:tcBorders>
            <w:shd w:val="clear" w:color="auto" w:fill="auto"/>
          </w:tcPr>
          <w:p w14:paraId="07A04E88" w14:textId="0BCCBA61" w:rsidR="00C7706B" w:rsidRDefault="00C7706B" w:rsidP="0067349B">
            <w:pPr>
              <w:rPr>
                <w:b/>
                <w:bCs/>
                <w:i/>
                <w:iCs/>
              </w:rPr>
            </w:pPr>
            <w:r w:rsidRPr="00C7706B">
              <w:rPr>
                <w:b/>
                <w:bCs/>
                <w:i/>
                <w:iCs/>
              </w:rPr>
              <w:t>Assistant Professor in the Department of Finance</w:t>
            </w:r>
            <w:r w:rsidR="00854D6E">
              <w:rPr>
                <w:b/>
                <w:bCs/>
                <w:i/>
                <w:iCs/>
              </w:rPr>
              <w:t xml:space="preserve"> within Faculty of Finance and Accounting</w:t>
            </w:r>
            <w:r w:rsidR="00CB001E">
              <w:rPr>
                <w:b/>
                <w:bCs/>
                <w:i/>
                <w:iCs/>
              </w:rPr>
              <w:t xml:space="preserve"> (Part-time)</w:t>
            </w:r>
          </w:p>
          <w:p w14:paraId="009CF9B5" w14:textId="746A1C74" w:rsidR="00C31925" w:rsidRPr="00EC061A" w:rsidRDefault="00C7706B" w:rsidP="0017232B">
            <w:pPr>
              <w:pStyle w:val="ListParagraph"/>
            </w:pPr>
            <w:r w:rsidRPr="00EC061A">
              <w:t>Lecture</w:t>
            </w:r>
            <w:r w:rsidR="00854D6E" w:rsidRPr="00EC061A">
              <w:t>d</w:t>
            </w:r>
            <w:r w:rsidRPr="00EC061A">
              <w:t xml:space="preserve"> </w:t>
            </w:r>
            <w:r w:rsidR="00854D6E" w:rsidRPr="00EC061A">
              <w:t xml:space="preserve">faculty’s </w:t>
            </w:r>
            <w:r w:rsidR="0017232B">
              <w:t>courses in “</w:t>
            </w:r>
            <w:r w:rsidR="00854D6E" w:rsidRPr="00EC061A">
              <w:t xml:space="preserve">Banking” (for </w:t>
            </w:r>
            <w:r w:rsidR="00F5397E" w:rsidRPr="00EC061A">
              <w:t>BSc</w:t>
            </w:r>
            <w:r w:rsidR="00854D6E" w:rsidRPr="00EC061A">
              <w:t xml:space="preserve"> students), “Advanced Bank Management”, “Advanced Commercial and Investment Banking” and “Private Banking” for (MSc Students) delivered in Bulgarian</w:t>
            </w:r>
            <w:r w:rsidR="00BE0ABF">
              <w:t>.</w:t>
            </w:r>
          </w:p>
          <w:p w14:paraId="55FF659C" w14:textId="25D28308" w:rsidR="00854D6E" w:rsidRDefault="00854D6E" w:rsidP="0017232B">
            <w:pPr>
              <w:pStyle w:val="ListParagraph"/>
            </w:pPr>
            <w:r>
              <w:t>Lectured faculty’s courses in “Banking” for BSc students delivered in English</w:t>
            </w:r>
            <w:r w:rsidR="00BE0ABF">
              <w:t>.</w:t>
            </w:r>
          </w:p>
          <w:p w14:paraId="45453378" w14:textId="00AC090E" w:rsidR="00854D6E" w:rsidRDefault="00854D6E" w:rsidP="0017232B">
            <w:pPr>
              <w:pStyle w:val="ListParagraph"/>
            </w:pPr>
            <w:r>
              <w:t>Conducted tutorials and exercising classes in Banking</w:t>
            </w:r>
            <w:r w:rsidR="00F5397E">
              <w:t xml:space="preserve"> – all exemplified with </w:t>
            </w:r>
            <w:r w:rsidR="00BE0ABF">
              <w:t xml:space="preserve">adapted </w:t>
            </w:r>
            <w:r w:rsidR="00F5397E">
              <w:t xml:space="preserve">real-life case studies </w:t>
            </w:r>
            <w:r w:rsidR="00B82584">
              <w:t xml:space="preserve">predominantly </w:t>
            </w:r>
            <w:r w:rsidR="00F5397E">
              <w:t xml:space="preserve">from own applied </w:t>
            </w:r>
            <w:r w:rsidR="00BE0ABF">
              <w:t xml:space="preserve">transaction execution </w:t>
            </w:r>
            <w:r w:rsidR="00F5397E">
              <w:t>assignments.</w:t>
            </w:r>
          </w:p>
          <w:p w14:paraId="6FDBC897" w14:textId="0D170766" w:rsidR="00854D6E" w:rsidRDefault="00854D6E" w:rsidP="0017232B">
            <w:pPr>
              <w:pStyle w:val="ListParagraph"/>
            </w:pPr>
            <w:r>
              <w:t xml:space="preserve">Organised conferences and other scientific events </w:t>
            </w:r>
            <w:r w:rsidR="00B82584">
              <w:t>supported</w:t>
            </w:r>
            <w:r>
              <w:t xml:space="preserve"> by the Department of Finance</w:t>
            </w:r>
            <w:r w:rsidR="00BE0ABF">
              <w:t xml:space="preserve"> and played instrumental role in organising support and </w:t>
            </w:r>
            <w:r w:rsidR="00B82584">
              <w:t>funding</w:t>
            </w:r>
            <w:r w:rsidR="00BE0ABF">
              <w:t xml:space="preserve"> from the relevant professional or industry communities.</w:t>
            </w:r>
          </w:p>
          <w:p w14:paraId="5C543A0C" w14:textId="1DF9DA63" w:rsidR="00854D6E" w:rsidRDefault="00854D6E" w:rsidP="00A90A1C">
            <w:pPr>
              <w:pStyle w:val="ListParagraph"/>
              <w:numPr>
                <w:ilvl w:val="0"/>
                <w:numId w:val="0"/>
              </w:numPr>
              <w:tabs>
                <w:tab w:val="left" w:pos="4592"/>
              </w:tabs>
              <w:ind w:left="774"/>
            </w:pPr>
            <w:r>
              <w:t>Took active part in the preparation of the course schedules</w:t>
            </w:r>
            <w:r w:rsidR="00B82584">
              <w:t>,</w:t>
            </w:r>
            <w:r>
              <w:t xml:space="preserve"> </w:t>
            </w:r>
            <w:r w:rsidR="00B82584">
              <w:t>curriculums and lecture presentations and exercise materials</w:t>
            </w:r>
            <w:r>
              <w:t xml:space="preserve"> </w:t>
            </w:r>
            <w:r w:rsidR="00B82584">
              <w:t>for</w:t>
            </w:r>
            <w:r>
              <w:t xml:space="preserve"> the Disciplines of </w:t>
            </w:r>
            <w:r w:rsidR="00BE0ABF">
              <w:t>“</w:t>
            </w:r>
            <w:r>
              <w:t>Bank Management</w:t>
            </w:r>
            <w:r w:rsidR="00BE0ABF">
              <w:t>”</w:t>
            </w:r>
            <w:r>
              <w:t xml:space="preserve"> and </w:t>
            </w:r>
            <w:r w:rsidR="00BE0ABF">
              <w:t>“</w:t>
            </w:r>
            <w:r>
              <w:t xml:space="preserve">Commercial </w:t>
            </w:r>
            <w:r w:rsidR="0077269E">
              <w:t>and Investment Banking</w:t>
            </w:r>
            <w:r w:rsidR="00BE0ABF">
              <w:t>”</w:t>
            </w:r>
            <w:r w:rsidR="0077269E">
              <w:t xml:space="preserve"> as well as PhD </w:t>
            </w:r>
            <w:r w:rsidR="00BE0ABF">
              <w:t xml:space="preserve">students’ </w:t>
            </w:r>
            <w:r w:rsidR="0077269E">
              <w:t xml:space="preserve">courses in </w:t>
            </w:r>
            <w:r w:rsidR="00BE0ABF">
              <w:t>“</w:t>
            </w:r>
            <w:r w:rsidR="0077269E">
              <w:t>Risk Management in Banking</w:t>
            </w:r>
            <w:r w:rsidR="00BE0ABF">
              <w:t>”</w:t>
            </w:r>
            <w:r w:rsidR="000374BF">
              <w:t>.</w:t>
            </w:r>
          </w:p>
          <w:p w14:paraId="31D10429" w14:textId="77777777" w:rsidR="0077269E" w:rsidRDefault="0077269E" w:rsidP="0017232B">
            <w:pPr>
              <w:pStyle w:val="ListParagraph"/>
            </w:pPr>
            <w:r w:rsidRPr="0017232B">
              <w:t xml:space="preserve">Regularly published results of research in national and regional journals in the areas of stochastic modelling, real options, applied Monte Carlo DCF Valuation methods and techniques, pricing of risky debt and bank </w:t>
            </w:r>
            <w:r w:rsidR="00F5397E" w:rsidRPr="0017232B">
              <w:t>modelling, valuation and stress-testing</w:t>
            </w:r>
            <w:r w:rsidR="00BE0ABF">
              <w:t>.</w:t>
            </w:r>
            <w:r w:rsidR="00F5397E" w:rsidRPr="0017232B">
              <w:t xml:space="preserve"> </w:t>
            </w:r>
            <w:r w:rsidR="00BE0ABF">
              <w:t>A</w:t>
            </w:r>
            <w:r w:rsidR="00F5397E" w:rsidRPr="0017232B">
              <w:t xml:space="preserve">ll </w:t>
            </w:r>
            <w:r w:rsidR="00BE0ABF">
              <w:t xml:space="preserve">conducted </w:t>
            </w:r>
            <w:r w:rsidR="00F5397E" w:rsidRPr="0017232B">
              <w:t xml:space="preserve">research </w:t>
            </w:r>
            <w:r w:rsidR="00BE0ABF">
              <w:t xml:space="preserve">is </w:t>
            </w:r>
            <w:r w:rsidR="00F5397E" w:rsidRPr="0017232B">
              <w:t xml:space="preserve">motivated by real-life cases and problems and </w:t>
            </w:r>
            <w:r w:rsidR="00BE0ABF">
              <w:t>the devised theoretical or analytical</w:t>
            </w:r>
            <w:r w:rsidR="00F5397E" w:rsidRPr="0017232B">
              <w:t xml:space="preserve"> constructs </w:t>
            </w:r>
            <w:r w:rsidR="00BE0ABF">
              <w:t xml:space="preserve">are </w:t>
            </w:r>
            <w:r w:rsidR="00F5397E" w:rsidRPr="0017232B">
              <w:t>deliberately aimed at actual practical application.</w:t>
            </w:r>
          </w:p>
          <w:p w14:paraId="1D7B528F" w14:textId="77777777" w:rsidR="00BE0ABF" w:rsidRDefault="00BE0ABF" w:rsidP="0017232B">
            <w:pPr>
              <w:pStyle w:val="ListParagraph"/>
            </w:pPr>
            <w:r>
              <w:t>Collaborates closely with academics from the renowned Faculty of Mathematics and Informatics</w:t>
            </w:r>
            <w:r w:rsidR="00CB001E">
              <w:t xml:space="preserve"> of Sofia University</w:t>
            </w:r>
            <w:r>
              <w:t xml:space="preserve"> on research topics in the field of Financial Mathematics</w:t>
            </w:r>
            <w:r w:rsidR="00CB001E">
              <w:t>.</w:t>
            </w:r>
          </w:p>
          <w:p w14:paraId="53292766" w14:textId="77777777" w:rsidR="00CB001E" w:rsidRDefault="00CB001E" w:rsidP="0017232B">
            <w:pPr>
              <w:pStyle w:val="ListParagraph"/>
            </w:pPr>
            <w:r>
              <w:t>Works closely with University’s Statistical and Mathematical Departments on projects related to probabilistic, stochastic, statistical and other quantitative topics.</w:t>
            </w:r>
          </w:p>
          <w:p w14:paraId="25602342" w14:textId="77777777" w:rsidR="00CB001E" w:rsidRDefault="00CB001E" w:rsidP="0017232B">
            <w:pPr>
              <w:pStyle w:val="ListParagraph"/>
            </w:pPr>
            <w:r>
              <w:t>In the process of drafting and writing a textbook in “Advanced Methods in Mining Valuation”</w:t>
            </w:r>
          </w:p>
          <w:p w14:paraId="15195618" w14:textId="77777777" w:rsidR="00C442E9" w:rsidRDefault="00B82584" w:rsidP="00C442E9">
            <w:pPr>
              <w:pStyle w:val="ListParagraph"/>
            </w:pPr>
            <w:r>
              <w:t>In the process of completing a 3-years’ EU funded project “Stochastic modelling, valuation and stress-testing of Bulgarian banks” comprising of financial analysis of all Bulgarian banks spanning 2007-2018 period, detailed financial statements forecast, its reduction to main value drivers and their stochastic simulation.</w:t>
            </w:r>
          </w:p>
          <w:p w14:paraId="2FB78376" w14:textId="0E5FFB0F" w:rsidR="009379DB" w:rsidRPr="0017232B" w:rsidRDefault="00C442E9" w:rsidP="00C442E9">
            <w:pPr>
              <w:pStyle w:val="ListParagraph"/>
            </w:pPr>
            <w:r>
              <w:t>S</w:t>
            </w:r>
            <w:r w:rsidR="003C4EEE">
              <w:t>ecure</w:t>
            </w:r>
            <w:r>
              <w:t>d</w:t>
            </w:r>
            <w:r w:rsidR="003C4EEE">
              <w:t xml:space="preserve"> research funding and support from </w:t>
            </w:r>
            <w:proofErr w:type="gramStart"/>
            <w:r w:rsidR="003C4EEE">
              <w:t>a number of</w:t>
            </w:r>
            <w:proofErr w:type="gramEnd"/>
            <w:r w:rsidR="003C4EEE">
              <w:t xml:space="preserve"> high-profile financial institutions for research on applied credit risk models and going-concern stochastic modelling and valuation with focus on sources of uncertainty and risk profile aimed at devising sustainable funding structures.</w:t>
            </w:r>
          </w:p>
        </w:tc>
      </w:tr>
      <w:tr w:rsidR="00CB001E" w:rsidRPr="00C7706B" w14:paraId="5CEEF46B" w14:textId="77777777" w:rsidTr="00B62658">
        <w:tc>
          <w:tcPr>
            <w:tcW w:w="1233" w:type="dxa"/>
            <w:tcBorders>
              <w:top w:val="single" w:sz="4" w:space="0" w:color="auto"/>
            </w:tcBorders>
            <w:shd w:val="clear" w:color="auto" w:fill="auto"/>
          </w:tcPr>
          <w:p w14:paraId="42A7C395" w14:textId="5778FF0D" w:rsidR="00CB001E" w:rsidRPr="00C7706B" w:rsidRDefault="00CB001E" w:rsidP="0067349B">
            <w:r>
              <w:t>2014-</w:t>
            </w:r>
          </w:p>
        </w:tc>
        <w:tc>
          <w:tcPr>
            <w:tcW w:w="9755" w:type="dxa"/>
            <w:gridSpan w:val="3"/>
            <w:tcBorders>
              <w:top w:val="single" w:sz="4" w:space="0" w:color="auto"/>
            </w:tcBorders>
            <w:shd w:val="clear" w:color="auto" w:fill="auto"/>
          </w:tcPr>
          <w:p w14:paraId="39070245" w14:textId="73C1639E" w:rsidR="00CB001E" w:rsidRPr="00CB001E" w:rsidRDefault="00CB001E" w:rsidP="0067349B">
            <w:pPr>
              <w:rPr>
                <w:b/>
                <w:bCs/>
                <w:caps/>
              </w:rPr>
            </w:pPr>
            <w:r w:rsidRPr="00CB001E">
              <w:rPr>
                <w:b/>
                <w:bCs/>
                <w:caps/>
              </w:rPr>
              <w:t>University of Mining and Geology</w:t>
            </w:r>
            <w:r w:rsidR="009705D0">
              <w:rPr>
                <w:b/>
                <w:bCs/>
                <w:caps/>
              </w:rPr>
              <w:t>, SOFIA</w:t>
            </w:r>
          </w:p>
        </w:tc>
      </w:tr>
      <w:tr w:rsidR="00CB001E" w:rsidRPr="00C7706B" w14:paraId="6C2972C8" w14:textId="77777777" w:rsidTr="00B62658">
        <w:tc>
          <w:tcPr>
            <w:tcW w:w="1233" w:type="dxa"/>
            <w:tcBorders>
              <w:bottom w:val="single" w:sz="4" w:space="0" w:color="auto"/>
            </w:tcBorders>
            <w:shd w:val="clear" w:color="auto" w:fill="auto"/>
          </w:tcPr>
          <w:p w14:paraId="20D99E65" w14:textId="77777777" w:rsidR="00CB001E" w:rsidRPr="00C7706B" w:rsidRDefault="00CB001E" w:rsidP="0067349B"/>
        </w:tc>
        <w:tc>
          <w:tcPr>
            <w:tcW w:w="9755" w:type="dxa"/>
            <w:gridSpan w:val="3"/>
            <w:tcBorders>
              <w:bottom w:val="single" w:sz="4" w:space="0" w:color="auto"/>
            </w:tcBorders>
            <w:shd w:val="clear" w:color="auto" w:fill="auto"/>
          </w:tcPr>
          <w:p w14:paraId="121B2E9B" w14:textId="6A58B639" w:rsidR="00CB001E" w:rsidRDefault="00CB001E" w:rsidP="00CB001E">
            <w:pPr>
              <w:rPr>
                <w:b/>
                <w:bCs/>
                <w:i/>
                <w:iCs/>
              </w:rPr>
            </w:pPr>
            <w:r>
              <w:rPr>
                <w:b/>
                <w:bCs/>
                <w:i/>
                <w:iCs/>
              </w:rPr>
              <w:t xml:space="preserve">Visiting </w:t>
            </w:r>
            <w:r w:rsidRPr="00C7706B">
              <w:rPr>
                <w:b/>
                <w:bCs/>
                <w:i/>
                <w:iCs/>
              </w:rPr>
              <w:t xml:space="preserve">Assistant Professor in the Department of </w:t>
            </w:r>
            <w:r>
              <w:rPr>
                <w:b/>
                <w:bCs/>
                <w:i/>
                <w:iCs/>
              </w:rPr>
              <w:t>Economics and Management of Mining Industry</w:t>
            </w:r>
          </w:p>
          <w:p w14:paraId="68539DBE" w14:textId="10BF9CA8" w:rsidR="00CB001E" w:rsidRDefault="00CB001E" w:rsidP="00CB001E">
            <w:pPr>
              <w:pStyle w:val="ListParagraph"/>
            </w:pPr>
            <w:r>
              <w:t>Lectur</w:t>
            </w:r>
            <w:r w:rsidR="00C442E9">
              <w:t>ing</w:t>
            </w:r>
            <w:r>
              <w:t xml:space="preserve"> courses on Corporate Finance and Valuation for Mining Engineering and Geology BSc students.</w:t>
            </w:r>
          </w:p>
          <w:p w14:paraId="579E3A25" w14:textId="03E255CC" w:rsidR="00C442E9" w:rsidRPr="000374BF" w:rsidRDefault="00CB001E" w:rsidP="009705D0">
            <w:pPr>
              <w:pStyle w:val="ListParagraph"/>
            </w:pPr>
            <w:r>
              <w:t>Lectur</w:t>
            </w:r>
            <w:r w:rsidR="00C442E9">
              <w:t>ing</w:t>
            </w:r>
            <w:r>
              <w:t xml:space="preserve"> courses on </w:t>
            </w:r>
            <w:r w:rsidR="000374BF">
              <w:t xml:space="preserve">Project Development and Finance in Mining for the </w:t>
            </w:r>
            <w:r w:rsidR="00C442E9">
              <w:t>MSc</w:t>
            </w:r>
            <w:r w:rsidR="000374BF">
              <w:t xml:space="preserve"> </w:t>
            </w:r>
            <w:r w:rsidR="00C442E9">
              <w:t xml:space="preserve">students </w:t>
            </w:r>
            <w:r w:rsidR="000374BF">
              <w:t>in Mining</w:t>
            </w:r>
            <w:r w:rsidR="00C442E9">
              <w:t xml:space="preserve"> Economics and</w:t>
            </w:r>
            <w:r w:rsidR="000374BF">
              <w:t xml:space="preserve"> Management</w:t>
            </w:r>
            <w:r w:rsidR="00C442E9">
              <w:t>.</w:t>
            </w:r>
          </w:p>
        </w:tc>
      </w:tr>
      <w:tr w:rsidR="009705D0" w:rsidRPr="00322B78" w14:paraId="593037A1" w14:textId="77777777" w:rsidTr="00B62658">
        <w:tc>
          <w:tcPr>
            <w:tcW w:w="1233" w:type="dxa"/>
            <w:tcBorders>
              <w:top w:val="single" w:sz="4" w:space="0" w:color="auto"/>
            </w:tcBorders>
            <w:shd w:val="clear" w:color="auto" w:fill="auto"/>
          </w:tcPr>
          <w:p w14:paraId="729F1AA2" w14:textId="438B31FE" w:rsidR="009705D0" w:rsidRPr="006838D8" w:rsidRDefault="009705D0" w:rsidP="008D14AC">
            <w:pPr>
              <w:rPr>
                <w:caps/>
              </w:rPr>
            </w:pPr>
            <w:r>
              <w:rPr>
                <w:caps/>
              </w:rPr>
              <w:t>2016-2018</w:t>
            </w:r>
          </w:p>
        </w:tc>
        <w:tc>
          <w:tcPr>
            <w:tcW w:w="9755" w:type="dxa"/>
            <w:gridSpan w:val="3"/>
            <w:tcBorders>
              <w:top w:val="single" w:sz="4" w:space="0" w:color="auto"/>
            </w:tcBorders>
            <w:shd w:val="clear" w:color="auto" w:fill="auto"/>
          </w:tcPr>
          <w:p w14:paraId="5CCDAB44" w14:textId="64CB2D34" w:rsidR="009705D0" w:rsidRPr="00322B78" w:rsidRDefault="009705D0" w:rsidP="008D14AC">
            <w:pPr>
              <w:rPr>
                <w:b/>
                <w:bCs/>
                <w:caps/>
              </w:rPr>
            </w:pPr>
            <w:r>
              <w:rPr>
                <w:b/>
                <w:bCs/>
                <w:caps/>
              </w:rPr>
              <w:t>UNIQA LIFE, SOFIA</w:t>
            </w:r>
          </w:p>
        </w:tc>
      </w:tr>
      <w:tr w:rsidR="009705D0" w:rsidRPr="00322B78" w14:paraId="2AA33539" w14:textId="77777777" w:rsidTr="00B62658">
        <w:tc>
          <w:tcPr>
            <w:tcW w:w="1233" w:type="dxa"/>
            <w:tcBorders>
              <w:bottom w:val="single" w:sz="4" w:space="0" w:color="auto"/>
            </w:tcBorders>
            <w:shd w:val="clear" w:color="auto" w:fill="auto"/>
          </w:tcPr>
          <w:p w14:paraId="166A2017" w14:textId="77777777" w:rsidR="009705D0" w:rsidRDefault="009705D0" w:rsidP="009705D0">
            <w:pPr>
              <w:rPr>
                <w:caps/>
              </w:rPr>
            </w:pPr>
          </w:p>
        </w:tc>
        <w:tc>
          <w:tcPr>
            <w:tcW w:w="9755" w:type="dxa"/>
            <w:gridSpan w:val="3"/>
            <w:tcBorders>
              <w:bottom w:val="single" w:sz="4" w:space="0" w:color="auto"/>
            </w:tcBorders>
            <w:shd w:val="clear" w:color="auto" w:fill="auto"/>
          </w:tcPr>
          <w:p w14:paraId="31E7C57C" w14:textId="3DBA464D" w:rsidR="009705D0" w:rsidRDefault="009705D0" w:rsidP="009705D0">
            <w:pPr>
              <w:rPr>
                <w:b/>
                <w:bCs/>
                <w:i/>
                <w:iCs/>
              </w:rPr>
            </w:pPr>
            <w:r>
              <w:rPr>
                <w:b/>
                <w:bCs/>
                <w:i/>
                <w:iCs/>
              </w:rPr>
              <w:t>Visiting Lecturer and Trainer</w:t>
            </w:r>
          </w:p>
          <w:p w14:paraId="238FE1EB" w14:textId="7F39C67E" w:rsidR="009705D0" w:rsidRDefault="00A90A1C" w:rsidP="009705D0">
            <w:pPr>
              <w:pStyle w:val="ListParagraph"/>
            </w:pPr>
            <w:r>
              <w:t>Conducted training</w:t>
            </w:r>
            <w:r w:rsidR="009705D0">
              <w:t xml:space="preserve"> courses on</w:t>
            </w:r>
            <w:r>
              <w:t xml:space="preserve"> life-assurance products with focus on appraisal of complex pay-offs.</w:t>
            </w:r>
          </w:p>
          <w:p w14:paraId="005DD439" w14:textId="257ACF18" w:rsidR="009705D0" w:rsidRDefault="00A90A1C" w:rsidP="009705D0">
            <w:pPr>
              <w:pStyle w:val="ListParagraph"/>
              <w:rPr>
                <w:b/>
                <w:bCs/>
                <w:caps/>
              </w:rPr>
            </w:pPr>
            <w:r>
              <w:t>Conducted training courses on foundations of investment analysis and valuation of debt, equity and derivatives.</w:t>
            </w:r>
          </w:p>
        </w:tc>
      </w:tr>
      <w:tr w:rsidR="009705D0" w:rsidRPr="00322B78" w14:paraId="322DAEA2" w14:textId="77777777" w:rsidTr="00B62658">
        <w:tc>
          <w:tcPr>
            <w:tcW w:w="1233" w:type="dxa"/>
            <w:tcBorders>
              <w:top w:val="single" w:sz="4" w:space="0" w:color="auto"/>
            </w:tcBorders>
            <w:shd w:val="clear" w:color="auto" w:fill="auto"/>
          </w:tcPr>
          <w:p w14:paraId="3F64F29C" w14:textId="5AA044AF" w:rsidR="009705D0" w:rsidRDefault="009705D0" w:rsidP="009705D0">
            <w:pPr>
              <w:rPr>
                <w:caps/>
              </w:rPr>
            </w:pPr>
            <w:r>
              <w:rPr>
                <w:caps/>
              </w:rPr>
              <w:t>2015-2017</w:t>
            </w:r>
          </w:p>
        </w:tc>
        <w:tc>
          <w:tcPr>
            <w:tcW w:w="9755" w:type="dxa"/>
            <w:gridSpan w:val="3"/>
            <w:tcBorders>
              <w:top w:val="single" w:sz="4" w:space="0" w:color="auto"/>
            </w:tcBorders>
            <w:shd w:val="clear" w:color="auto" w:fill="auto"/>
          </w:tcPr>
          <w:p w14:paraId="1EBC203E" w14:textId="5C508564" w:rsidR="009705D0" w:rsidRDefault="009705D0" w:rsidP="009705D0">
            <w:pPr>
              <w:rPr>
                <w:b/>
                <w:bCs/>
                <w:caps/>
              </w:rPr>
            </w:pPr>
            <w:r>
              <w:rPr>
                <w:b/>
                <w:bCs/>
                <w:caps/>
              </w:rPr>
              <w:t>INTERNATIONAL BANKIN INSTITUTE, SOFIA</w:t>
            </w:r>
          </w:p>
        </w:tc>
      </w:tr>
      <w:tr w:rsidR="009705D0" w:rsidRPr="00322B78" w14:paraId="0049E912" w14:textId="77777777" w:rsidTr="00B62658">
        <w:tc>
          <w:tcPr>
            <w:tcW w:w="1233" w:type="dxa"/>
            <w:tcBorders>
              <w:bottom w:val="single" w:sz="4" w:space="0" w:color="auto"/>
            </w:tcBorders>
            <w:shd w:val="clear" w:color="auto" w:fill="auto"/>
          </w:tcPr>
          <w:p w14:paraId="256F43FC" w14:textId="77777777" w:rsidR="009705D0" w:rsidRPr="006838D8" w:rsidRDefault="009705D0" w:rsidP="009705D0">
            <w:pPr>
              <w:rPr>
                <w:caps/>
              </w:rPr>
            </w:pPr>
          </w:p>
        </w:tc>
        <w:tc>
          <w:tcPr>
            <w:tcW w:w="9755" w:type="dxa"/>
            <w:gridSpan w:val="3"/>
            <w:tcBorders>
              <w:bottom w:val="single" w:sz="4" w:space="0" w:color="auto"/>
            </w:tcBorders>
            <w:shd w:val="clear" w:color="auto" w:fill="auto"/>
          </w:tcPr>
          <w:p w14:paraId="1F17EF57" w14:textId="01B756AF" w:rsidR="009705D0" w:rsidRDefault="009705D0" w:rsidP="009705D0">
            <w:pPr>
              <w:pStyle w:val="ListParagraph"/>
            </w:pPr>
            <w:r>
              <w:t>Lectur</w:t>
            </w:r>
            <w:r w:rsidR="00A90A1C">
              <w:t>ed</w:t>
            </w:r>
            <w:r>
              <w:t xml:space="preserve"> courses on</w:t>
            </w:r>
            <w:r w:rsidR="00A90A1C">
              <w:t xml:space="preserve"> Corporate Finance and Valuation for bank officers with focus on credit appraisal and credit risk</w:t>
            </w:r>
            <w:r>
              <w:t>.</w:t>
            </w:r>
          </w:p>
          <w:p w14:paraId="388FD0CC" w14:textId="566213AD" w:rsidR="009705D0" w:rsidRPr="00322B78" w:rsidRDefault="009705D0" w:rsidP="009705D0">
            <w:pPr>
              <w:pStyle w:val="ListParagraph"/>
              <w:rPr>
                <w:b/>
                <w:bCs/>
                <w:caps/>
              </w:rPr>
            </w:pPr>
            <w:r>
              <w:t>Lecturing courses on</w:t>
            </w:r>
            <w:r w:rsidR="00A90A1C">
              <w:t xml:space="preserve"> Options, Futures and Other Derivatives</w:t>
            </w:r>
            <w:r>
              <w:t>.</w:t>
            </w:r>
          </w:p>
        </w:tc>
      </w:tr>
      <w:tr w:rsidR="009705D0" w:rsidRPr="00322B78" w14:paraId="3A6E323A" w14:textId="77777777" w:rsidTr="00B62658">
        <w:tc>
          <w:tcPr>
            <w:tcW w:w="1233" w:type="dxa"/>
            <w:tcBorders>
              <w:top w:val="single" w:sz="4" w:space="0" w:color="auto"/>
            </w:tcBorders>
            <w:shd w:val="clear" w:color="auto" w:fill="auto"/>
          </w:tcPr>
          <w:p w14:paraId="10794EFF" w14:textId="4C23B4B9" w:rsidR="009705D0" w:rsidRPr="006838D8" w:rsidRDefault="009705D0" w:rsidP="009705D0">
            <w:pPr>
              <w:rPr>
                <w:caps/>
              </w:rPr>
            </w:pPr>
            <w:r w:rsidRPr="006838D8">
              <w:rPr>
                <w:caps/>
              </w:rPr>
              <w:t>1995-1998</w:t>
            </w:r>
          </w:p>
        </w:tc>
        <w:tc>
          <w:tcPr>
            <w:tcW w:w="9755" w:type="dxa"/>
            <w:gridSpan w:val="3"/>
            <w:tcBorders>
              <w:top w:val="single" w:sz="4" w:space="0" w:color="auto"/>
            </w:tcBorders>
            <w:shd w:val="clear" w:color="auto" w:fill="auto"/>
          </w:tcPr>
          <w:p w14:paraId="18D83B78" w14:textId="3D177E15" w:rsidR="009705D0" w:rsidRPr="00322B78" w:rsidRDefault="009705D0" w:rsidP="009705D0">
            <w:pPr>
              <w:rPr>
                <w:b/>
                <w:bCs/>
                <w:caps/>
              </w:rPr>
            </w:pPr>
            <w:r w:rsidRPr="00322B78">
              <w:rPr>
                <w:b/>
                <w:bCs/>
                <w:caps/>
              </w:rPr>
              <w:t>University of National and World Economy, Sofia</w:t>
            </w:r>
          </w:p>
        </w:tc>
      </w:tr>
      <w:tr w:rsidR="009705D0" w:rsidRPr="001D7278" w14:paraId="4208BFD6" w14:textId="77777777" w:rsidTr="00B62658">
        <w:tc>
          <w:tcPr>
            <w:tcW w:w="1233" w:type="dxa"/>
            <w:shd w:val="clear" w:color="auto" w:fill="auto"/>
          </w:tcPr>
          <w:p w14:paraId="787FE7B5" w14:textId="77777777" w:rsidR="009705D0" w:rsidRPr="006838D8" w:rsidRDefault="009705D0" w:rsidP="009705D0"/>
        </w:tc>
        <w:tc>
          <w:tcPr>
            <w:tcW w:w="9755" w:type="dxa"/>
            <w:gridSpan w:val="3"/>
            <w:shd w:val="clear" w:color="auto" w:fill="auto"/>
          </w:tcPr>
          <w:p w14:paraId="69D4784B" w14:textId="323A2871" w:rsidR="009705D0" w:rsidRDefault="009705D0" w:rsidP="009705D0">
            <w:pPr>
              <w:rPr>
                <w:b/>
                <w:bCs/>
                <w:i/>
                <w:iCs/>
              </w:rPr>
            </w:pPr>
            <w:r>
              <w:rPr>
                <w:b/>
                <w:bCs/>
                <w:i/>
                <w:iCs/>
              </w:rPr>
              <w:t xml:space="preserve">Regular </w:t>
            </w:r>
            <w:r w:rsidRPr="00C7706B">
              <w:rPr>
                <w:b/>
                <w:bCs/>
                <w:i/>
                <w:iCs/>
              </w:rPr>
              <w:t>Assistant Professor in the Department of Finance</w:t>
            </w:r>
          </w:p>
          <w:p w14:paraId="2B52911D" w14:textId="66654C99" w:rsidR="009705D0" w:rsidRDefault="009705D0" w:rsidP="009705D0">
            <w:pPr>
              <w:pStyle w:val="ListParagraph"/>
            </w:pPr>
            <w:r w:rsidRPr="00C7706B">
              <w:t>Lect</w:t>
            </w:r>
            <w:r>
              <w:t xml:space="preserve">ured and tutored on the faculty’s courses </w:t>
            </w:r>
            <w:proofErr w:type="gramStart"/>
            <w:r>
              <w:t>in ”</w:t>
            </w:r>
            <w:proofErr w:type="gramEnd"/>
            <w:r>
              <w:t xml:space="preserve"> Banking” and “Investments Analysis and Valuation”</w:t>
            </w:r>
          </w:p>
          <w:p w14:paraId="57386F1C" w14:textId="1F69B152" w:rsidR="009705D0" w:rsidRDefault="009705D0" w:rsidP="009705D0">
            <w:pPr>
              <w:pStyle w:val="ListParagraph"/>
            </w:pPr>
            <w:r>
              <w:t>Developed a lecturing style that substantiates and exemplifies all theoretical build-ups with real life examples</w:t>
            </w:r>
          </w:p>
          <w:p w14:paraId="34C465D7" w14:textId="348F1060" w:rsidR="009705D0" w:rsidRDefault="009705D0" w:rsidP="009705D0">
            <w:pPr>
              <w:pStyle w:val="ListParagraph"/>
            </w:pPr>
            <w:r>
              <w:t>Developed a case-bank of tools and documents to use in the applied knowledge and skill development process.</w:t>
            </w:r>
          </w:p>
          <w:p w14:paraId="50254D06" w14:textId="5855DC29" w:rsidR="009705D0" w:rsidRPr="001D7278" w:rsidRDefault="009705D0" w:rsidP="009705D0">
            <w:pPr>
              <w:pStyle w:val="ListParagraph"/>
              <w:rPr>
                <w:b/>
                <w:bCs/>
              </w:rPr>
            </w:pPr>
            <w:r>
              <w:t>Performed junior research assignments for faculty members and faculty research projects.</w:t>
            </w:r>
          </w:p>
        </w:tc>
      </w:tr>
      <w:tr w:rsidR="009705D0" w:rsidRPr="001D7278" w14:paraId="69135180" w14:textId="77777777" w:rsidTr="00B62658">
        <w:tc>
          <w:tcPr>
            <w:tcW w:w="10988" w:type="dxa"/>
            <w:gridSpan w:val="4"/>
            <w:tcBorders>
              <w:bottom w:val="single" w:sz="4" w:space="0" w:color="auto"/>
            </w:tcBorders>
            <w:shd w:val="clear" w:color="auto" w:fill="D9D9D9"/>
          </w:tcPr>
          <w:p w14:paraId="149667A8" w14:textId="654C5F54" w:rsidR="009705D0" w:rsidRPr="001D7278" w:rsidRDefault="009705D0" w:rsidP="009705D0">
            <w:pPr>
              <w:rPr>
                <w:b/>
                <w:bCs/>
              </w:rPr>
            </w:pPr>
            <w:r w:rsidRPr="001D7278">
              <w:rPr>
                <w:b/>
                <w:bCs/>
              </w:rPr>
              <w:t>APPLIED EXPERIENCE</w:t>
            </w:r>
          </w:p>
        </w:tc>
      </w:tr>
      <w:tr w:rsidR="009A4CCC" w14:paraId="6B7AD4AB" w14:textId="77777777" w:rsidTr="00B62658">
        <w:tc>
          <w:tcPr>
            <w:tcW w:w="1233" w:type="dxa"/>
            <w:tcBorders>
              <w:top w:val="single" w:sz="4" w:space="0" w:color="auto"/>
            </w:tcBorders>
            <w:shd w:val="clear" w:color="auto" w:fill="auto"/>
          </w:tcPr>
          <w:p w14:paraId="77012B35" w14:textId="53CFD42A" w:rsidR="009A4CCC" w:rsidRDefault="009A4CCC" w:rsidP="009705D0">
            <w:r>
              <w:t>2023-</w:t>
            </w:r>
          </w:p>
        </w:tc>
        <w:tc>
          <w:tcPr>
            <w:tcW w:w="9755" w:type="dxa"/>
            <w:gridSpan w:val="3"/>
            <w:tcBorders>
              <w:top w:val="single" w:sz="4" w:space="0" w:color="auto"/>
            </w:tcBorders>
            <w:shd w:val="clear" w:color="auto" w:fill="auto"/>
          </w:tcPr>
          <w:p w14:paraId="02E377E2" w14:textId="0B736B01" w:rsidR="009A4CCC" w:rsidRDefault="009A4CCC" w:rsidP="009705D0">
            <w:pPr>
              <w:rPr>
                <w:b/>
                <w:bCs/>
              </w:rPr>
            </w:pPr>
            <w:r>
              <w:rPr>
                <w:b/>
                <w:bCs/>
              </w:rPr>
              <w:t>ELEEN MARINE JSC – Integrated Ship-owner and Manager</w:t>
            </w:r>
          </w:p>
        </w:tc>
      </w:tr>
      <w:tr w:rsidR="009A4CCC" w14:paraId="7262632C" w14:textId="77777777" w:rsidTr="00B62658">
        <w:tc>
          <w:tcPr>
            <w:tcW w:w="1233" w:type="dxa"/>
            <w:tcBorders>
              <w:top w:val="single" w:sz="4" w:space="0" w:color="auto"/>
            </w:tcBorders>
            <w:shd w:val="clear" w:color="auto" w:fill="auto"/>
          </w:tcPr>
          <w:p w14:paraId="22B24CCA" w14:textId="77777777" w:rsidR="009A4CCC" w:rsidRDefault="009A4CCC" w:rsidP="009705D0"/>
        </w:tc>
        <w:tc>
          <w:tcPr>
            <w:tcW w:w="9755" w:type="dxa"/>
            <w:gridSpan w:val="3"/>
            <w:tcBorders>
              <w:top w:val="single" w:sz="4" w:space="0" w:color="auto"/>
            </w:tcBorders>
            <w:shd w:val="clear" w:color="auto" w:fill="auto"/>
          </w:tcPr>
          <w:p w14:paraId="00CE8AEA" w14:textId="77777777" w:rsidR="009A4CCC" w:rsidRDefault="009A4CCC" w:rsidP="009705D0">
            <w:pPr>
              <w:rPr>
                <w:b/>
                <w:bCs/>
                <w:i/>
                <w:iCs/>
              </w:rPr>
            </w:pPr>
            <w:r w:rsidRPr="009A4CCC">
              <w:rPr>
                <w:b/>
                <w:bCs/>
                <w:i/>
                <w:iCs/>
              </w:rPr>
              <w:t>Chief Financial Officer</w:t>
            </w:r>
          </w:p>
          <w:p w14:paraId="27D75220" w14:textId="1DA9D4F6" w:rsidR="009A4CCC" w:rsidRPr="009A4CCC" w:rsidRDefault="009A4CCC" w:rsidP="009A4CCC">
            <w:pPr>
              <w:pStyle w:val="ListParagraph"/>
            </w:pPr>
            <w:r w:rsidRPr="009A4CCC">
              <w:t>Financial management, Reporting management and oversight, Planning, Financial structures design, negotiation and implementation, Liquidity management, Valuations, Appraisals and Modelling</w:t>
            </w:r>
          </w:p>
          <w:p w14:paraId="2D38AD70" w14:textId="38ED402F" w:rsidR="009A4CCC" w:rsidRPr="009A4CCC" w:rsidRDefault="009A4CCC" w:rsidP="009705D0">
            <w:pPr>
              <w:rPr>
                <w:b/>
                <w:bCs/>
                <w:i/>
                <w:iCs/>
              </w:rPr>
            </w:pPr>
          </w:p>
        </w:tc>
      </w:tr>
      <w:tr w:rsidR="009705D0" w14:paraId="54040E14" w14:textId="77777777" w:rsidTr="00B62658">
        <w:tc>
          <w:tcPr>
            <w:tcW w:w="1233" w:type="dxa"/>
            <w:tcBorders>
              <w:top w:val="single" w:sz="4" w:space="0" w:color="auto"/>
            </w:tcBorders>
            <w:shd w:val="clear" w:color="auto" w:fill="auto"/>
          </w:tcPr>
          <w:p w14:paraId="21D718E9" w14:textId="3CA006FA" w:rsidR="009705D0" w:rsidRDefault="009705D0" w:rsidP="009705D0">
            <w:r>
              <w:t>2019-</w:t>
            </w:r>
            <w:r w:rsidR="009A4CCC">
              <w:t>2023</w:t>
            </w:r>
          </w:p>
        </w:tc>
        <w:tc>
          <w:tcPr>
            <w:tcW w:w="9755" w:type="dxa"/>
            <w:gridSpan w:val="3"/>
            <w:tcBorders>
              <w:top w:val="single" w:sz="4" w:space="0" w:color="auto"/>
            </w:tcBorders>
            <w:shd w:val="clear" w:color="auto" w:fill="auto"/>
          </w:tcPr>
          <w:p w14:paraId="53E35A17" w14:textId="6A3B6079" w:rsidR="009705D0" w:rsidRDefault="009705D0" w:rsidP="009705D0">
            <w:pPr>
              <w:rPr>
                <w:b/>
                <w:bCs/>
              </w:rPr>
            </w:pPr>
            <w:r>
              <w:rPr>
                <w:b/>
                <w:bCs/>
              </w:rPr>
              <w:t>EURODAXX SA (CH) – Pan-European Fintech Advisory</w:t>
            </w:r>
            <w:r w:rsidRPr="006838D8">
              <w:rPr>
                <w:b/>
                <w:bCs/>
              </w:rPr>
              <w:t xml:space="preserve"> and Private Equity House</w:t>
            </w:r>
          </w:p>
        </w:tc>
      </w:tr>
      <w:tr w:rsidR="009705D0" w14:paraId="2F40AD91" w14:textId="77777777" w:rsidTr="00B62658">
        <w:tc>
          <w:tcPr>
            <w:tcW w:w="1233" w:type="dxa"/>
            <w:tcBorders>
              <w:bottom w:val="single" w:sz="4" w:space="0" w:color="auto"/>
            </w:tcBorders>
            <w:shd w:val="clear" w:color="auto" w:fill="auto"/>
          </w:tcPr>
          <w:p w14:paraId="3A9CFA6B" w14:textId="77777777" w:rsidR="009705D0" w:rsidRDefault="009705D0" w:rsidP="009705D0"/>
        </w:tc>
        <w:tc>
          <w:tcPr>
            <w:tcW w:w="9755" w:type="dxa"/>
            <w:gridSpan w:val="3"/>
            <w:tcBorders>
              <w:bottom w:val="single" w:sz="4" w:space="0" w:color="auto"/>
            </w:tcBorders>
            <w:shd w:val="clear" w:color="auto" w:fill="auto"/>
          </w:tcPr>
          <w:p w14:paraId="78D2C888" w14:textId="51DA9D8B" w:rsidR="009705D0" w:rsidRDefault="009705D0" w:rsidP="009705D0">
            <w:pPr>
              <w:rPr>
                <w:b/>
                <w:bCs/>
                <w:i/>
                <w:iCs/>
              </w:rPr>
            </w:pPr>
            <w:r w:rsidRPr="00C7706B">
              <w:rPr>
                <w:b/>
                <w:bCs/>
                <w:i/>
                <w:iCs/>
              </w:rPr>
              <w:t>Senior Partner in Charge of Transaction Execution</w:t>
            </w:r>
            <w:r>
              <w:rPr>
                <w:b/>
                <w:bCs/>
                <w:i/>
                <w:iCs/>
              </w:rPr>
              <w:t xml:space="preserve"> Process</w:t>
            </w:r>
            <w:r w:rsidR="009A4CCC">
              <w:rPr>
                <w:b/>
                <w:bCs/>
                <w:i/>
                <w:iCs/>
              </w:rPr>
              <w:t xml:space="preserve"> and CFO</w:t>
            </w:r>
          </w:p>
          <w:p w14:paraId="3F246183" w14:textId="21FE35B7" w:rsidR="009705D0" w:rsidRDefault="009705D0" w:rsidP="009705D0">
            <w:pPr>
              <w:pStyle w:val="ListParagraph"/>
            </w:pPr>
            <w:r>
              <w:t>DCF and Relative Valuations of highly uncertain ventures with application of stochastic modelling and set of real options, mapping new fintech business models into standard corporate finance settings to assess sustainability and value creation.</w:t>
            </w:r>
          </w:p>
          <w:p w14:paraId="70313049" w14:textId="0A1C6081" w:rsidR="009705D0" w:rsidRPr="00EC061A" w:rsidRDefault="009705D0" w:rsidP="009705D0">
            <w:pPr>
              <w:pStyle w:val="ListParagraph"/>
            </w:pPr>
            <w:r>
              <w:t>Drafting business plans, information memoranda, offering prospectuses, investor presentations (pitch-decks), synopsises (teasers).</w:t>
            </w:r>
            <w:r w:rsidRPr="00EC061A">
              <w:t xml:space="preserve"> </w:t>
            </w:r>
          </w:p>
          <w:p w14:paraId="56C3E0EA" w14:textId="77777777" w:rsidR="009705D0" w:rsidRDefault="009705D0" w:rsidP="009705D0">
            <w:pPr>
              <w:pStyle w:val="ListParagraph"/>
            </w:pPr>
            <w:r>
              <w:t>Devising and implementing corporate structures</w:t>
            </w:r>
            <w:r w:rsidRPr="00EC061A">
              <w:t xml:space="preserve"> </w:t>
            </w:r>
            <w:r>
              <w:t>for raising equity and debt finance</w:t>
            </w:r>
            <w:r w:rsidRPr="00EC061A">
              <w:t xml:space="preserve"> for </w:t>
            </w:r>
            <w:proofErr w:type="gramStart"/>
            <w:r w:rsidRPr="00EC061A">
              <w:t>a number of</w:t>
            </w:r>
            <w:proofErr w:type="gramEnd"/>
            <w:r w:rsidRPr="00EC061A">
              <w:t xml:space="preserve"> high-</w:t>
            </w:r>
            <w:r>
              <w:t>tech</w:t>
            </w:r>
            <w:r w:rsidRPr="00EC061A">
              <w:t xml:space="preserve"> ventures</w:t>
            </w:r>
            <w:r>
              <w:t>.</w:t>
            </w:r>
          </w:p>
          <w:p w14:paraId="333FBCF4" w14:textId="206661AB" w:rsidR="009705D0" w:rsidRPr="00A8619B" w:rsidRDefault="009705D0" w:rsidP="009705D0">
            <w:pPr>
              <w:pStyle w:val="ListParagraph"/>
            </w:pPr>
            <w:r>
              <w:lastRenderedPageBreak/>
              <w:t>Origination of transactions and client leads</w:t>
            </w:r>
          </w:p>
        </w:tc>
      </w:tr>
      <w:tr w:rsidR="009705D0" w14:paraId="442A877C" w14:textId="77777777" w:rsidTr="00B62658">
        <w:tc>
          <w:tcPr>
            <w:tcW w:w="1233" w:type="dxa"/>
            <w:tcBorders>
              <w:top w:val="single" w:sz="4" w:space="0" w:color="auto"/>
            </w:tcBorders>
            <w:shd w:val="clear" w:color="auto" w:fill="auto"/>
          </w:tcPr>
          <w:p w14:paraId="2891209F" w14:textId="75ADD09E" w:rsidR="009705D0" w:rsidRDefault="009705D0" w:rsidP="009705D0">
            <w:r>
              <w:lastRenderedPageBreak/>
              <w:t>2018-2019</w:t>
            </w:r>
          </w:p>
        </w:tc>
        <w:tc>
          <w:tcPr>
            <w:tcW w:w="9755" w:type="dxa"/>
            <w:gridSpan w:val="3"/>
            <w:tcBorders>
              <w:top w:val="single" w:sz="4" w:space="0" w:color="auto"/>
            </w:tcBorders>
            <w:shd w:val="clear" w:color="auto" w:fill="auto"/>
          </w:tcPr>
          <w:p w14:paraId="629D35EC" w14:textId="5601B349" w:rsidR="009705D0" w:rsidRPr="00C14D33" w:rsidRDefault="009705D0" w:rsidP="009705D0">
            <w:pPr>
              <w:rPr>
                <w:b/>
                <w:bCs/>
                <w:lang w:val="bg-BG"/>
              </w:rPr>
            </w:pPr>
            <w:r>
              <w:rPr>
                <w:b/>
                <w:bCs/>
              </w:rPr>
              <w:t>BLUESHARE.IO / INTERPROM MINING AG (CH) – European Base and Precious Metals Extraction</w:t>
            </w:r>
          </w:p>
        </w:tc>
      </w:tr>
      <w:tr w:rsidR="009705D0" w14:paraId="2EAFC6D3" w14:textId="77777777" w:rsidTr="00B62658">
        <w:tc>
          <w:tcPr>
            <w:tcW w:w="1233" w:type="dxa"/>
            <w:tcBorders>
              <w:bottom w:val="single" w:sz="4" w:space="0" w:color="auto"/>
            </w:tcBorders>
            <w:shd w:val="clear" w:color="auto" w:fill="auto"/>
          </w:tcPr>
          <w:p w14:paraId="2E9C7757" w14:textId="77777777" w:rsidR="009705D0" w:rsidRDefault="009705D0" w:rsidP="009705D0"/>
        </w:tc>
        <w:tc>
          <w:tcPr>
            <w:tcW w:w="9755" w:type="dxa"/>
            <w:gridSpan w:val="3"/>
            <w:tcBorders>
              <w:bottom w:val="single" w:sz="4" w:space="0" w:color="auto"/>
            </w:tcBorders>
            <w:shd w:val="clear" w:color="auto" w:fill="auto"/>
          </w:tcPr>
          <w:p w14:paraId="053DDBF1" w14:textId="360A0189" w:rsidR="009705D0" w:rsidRDefault="009705D0" w:rsidP="009705D0">
            <w:pPr>
              <w:pStyle w:val="Heading3"/>
              <w:rPr>
                <w:b/>
                <w:bCs/>
              </w:rPr>
            </w:pPr>
            <w:r>
              <w:rPr>
                <w:b/>
                <w:bCs/>
              </w:rPr>
              <w:t>CFO and Coordinator of Global Public Security Token Offering on the Blockchain</w:t>
            </w:r>
          </w:p>
          <w:p w14:paraId="172F3BF8" w14:textId="6255CA0B" w:rsidR="009705D0" w:rsidRDefault="009705D0" w:rsidP="009705D0">
            <w:pPr>
              <w:pStyle w:val="ListParagraph"/>
            </w:pPr>
            <w:r>
              <w:t>Development of business plans, open-pit and under-ground mines forecasts working closely with geologists and mining engineers.</w:t>
            </w:r>
          </w:p>
          <w:p w14:paraId="1034EE34" w14:textId="78484CDB" w:rsidR="009705D0" w:rsidRDefault="009705D0" w:rsidP="009705D0">
            <w:pPr>
              <w:pStyle w:val="ListParagraph"/>
            </w:pPr>
            <w:r>
              <w:t>Devised stochastic value factor driven DCF financial models with application of real options in their combination</w:t>
            </w:r>
          </w:p>
          <w:p w14:paraId="0D34E5A6" w14:textId="77777777" w:rsidR="009705D0" w:rsidRDefault="009705D0" w:rsidP="009705D0">
            <w:pPr>
              <w:pStyle w:val="ListParagraph"/>
            </w:pPr>
            <w:r>
              <w:t>Identified and implemented optimal corporate structure for global fund raising applying the frontier distributed blockchain ledger and encryption technologies and smart contract systems.</w:t>
            </w:r>
          </w:p>
          <w:p w14:paraId="08B972DC" w14:textId="4F9EA360" w:rsidR="009705D0" w:rsidRDefault="009705D0" w:rsidP="009705D0">
            <w:pPr>
              <w:pStyle w:val="ListParagraph"/>
            </w:pPr>
            <w:r>
              <w:t>Worked closely with legal and IT professionals to structure and create one of the first dividend paying security tokens that effectively serves the purpose of a negotiable share certificate.</w:t>
            </w:r>
          </w:p>
          <w:p w14:paraId="13EE7ECE" w14:textId="129F72DD" w:rsidR="009705D0" w:rsidRDefault="009705D0" w:rsidP="009705D0">
            <w:pPr>
              <w:pStyle w:val="ListParagraph"/>
            </w:pPr>
            <w:r>
              <w:t>Where necessary devised and incorporated all required IT, legal, design and system architecture components to meet all regulatory KYC/AML and investor protection requirements.</w:t>
            </w:r>
          </w:p>
          <w:p w14:paraId="68B52B66" w14:textId="671AACFA" w:rsidR="009705D0" w:rsidRDefault="009705D0" w:rsidP="009705D0">
            <w:pPr>
              <w:pStyle w:val="ListParagraph"/>
            </w:pPr>
            <w:r>
              <w:t>Played instrumental role in the drafting of the offering prospectus and prepared all the required marketing tools for the global offering such as investor presentations, synopses, white papers, light papers etc.</w:t>
            </w:r>
          </w:p>
          <w:p w14:paraId="056AD940" w14:textId="62D91B81" w:rsidR="009705D0" w:rsidRDefault="009705D0" w:rsidP="009705D0">
            <w:pPr>
              <w:pStyle w:val="ListParagraph"/>
            </w:pPr>
            <w:r>
              <w:t>Negotiated terms and managed execution of the involved investment bankers, legal advisors, legal due-diligence providers, mining and geology D/D providers and tax advisors</w:t>
            </w:r>
          </w:p>
          <w:p w14:paraId="439B0F89" w14:textId="2A16A454" w:rsidR="009705D0" w:rsidRPr="00270C7E" w:rsidRDefault="009705D0" w:rsidP="009705D0">
            <w:pPr>
              <w:pStyle w:val="ListParagraph"/>
            </w:pPr>
            <w:r>
              <w:t>Organised and controlled the overall reporting and financial audit process at group and entity levels.</w:t>
            </w:r>
          </w:p>
        </w:tc>
      </w:tr>
      <w:tr w:rsidR="009705D0" w14:paraId="470165C2" w14:textId="77777777" w:rsidTr="00B62658">
        <w:tc>
          <w:tcPr>
            <w:tcW w:w="1233" w:type="dxa"/>
            <w:tcBorders>
              <w:top w:val="single" w:sz="4" w:space="0" w:color="auto"/>
            </w:tcBorders>
            <w:shd w:val="clear" w:color="auto" w:fill="auto"/>
          </w:tcPr>
          <w:p w14:paraId="30EBB742" w14:textId="1DF9FBDB" w:rsidR="009705D0" w:rsidRDefault="009705D0" w:rsidP="009705D0">
            <w:r>
              <w:t>2014-</w:t>
            </w:r>
            <w:r w:rsidR="009A4CCC">
              <w:t>2022</w:t>
            </w:r>
          </w:p>
        </w:tc>
        <w:tc>
          <w:tcPr>
            <w:tcW w:w="9755" w:type="dxa"/>
            <w:gridSpan w:val="3"/>
            <w:tcBorders>
              <w:top w:val="single" w:sz="4" w:space="0" w:color="auto"/>
            </w:tcBorders>
            <w:shd w:val="clear" w:color="auto" w:fill="auto"/>
          </w:tcPr>
          <w:p w14:paraId="5DE22063" w14:textId="751A434C" w:rsidR="009705D0" w:rsidRDefault="009705D0" w:rsidP="009705D0">
            <w:pPr>
              <w:rPr>
                <w:b/>
                <w:bCs/>
              </w:rPr>
            </w:pPr>
            <w:r>
              <w:rPr>
                <w:b/>
                <w:bCs/>
              </w:rPr>
              <w:t xml:space="preserve">BENEFIN CAPITAL LTD (Bulgaria) – </w:t>
            </w:r>
            <w:r w:rsidRPr="006838D8">
              <w:rPr>
                <w:b/>
                <w:bCs/>
              </w:rPr>
              <w:t xml:space="preserve">Regional </w:t>
            </w:r>
            <w:r>
              <w:rPr>
                <w:b/>
                <w:bCs/>
              </w:rPr>
              <w:t>Corp. Fin. Advisory</w:t>
            </w:r>
            <w:r w:rsidRPr="006838D8">
              <w:rPr>
                <w:b/>
                <w:bCs/>
              </w:rPr>
              <w:t xml:space="preserve"> and Private Equity House</w:t>
            </w:r>
          </w:p>
        </w:tc>
      </w:tr>
      <w:tr w:rsidR="009705D0" w14:paraId="74AE8608" w14:textId="77777777" w:rsidTr="00B62658">
        <w:tc>
          <w:tcPr>
            <w:tcW w:w="1233" w:type="dxa"/>
            <w:tcBorders>
              <w:bottom w:val="single" w:sz="4" w:space="0" w:color="auto"/>
            </w:tcBorders>
            <w:shd w:val="clear" w:color="auto" w:fill="auto"/>
          </w:tcPr>
          <w:p w14:paraId="1BA99D9E" w14:textId="77777777" w:rsidR="009705D0" w:rsidRDefault="009705D0" w:rsidP="009705D0"/>
        </w:tc>
        <w:tc>
          <w:tcPr>
            <w:tcW w:w="9755" w:type="dxa"/>
            <w:gridSpan w:val="3"/>
            <w:tcBorders>
              <w:bottom w:val="single" w:sz="4" w:space="0" w:color="auto"/>
            </w:tcBorders>
            <w:shd w:val="clear" w:color="auto" w:fill="auto"/>
          </w:tcPr>
          <w:p w14:paraId="076499F7" w14:textId="77777777" w:rsidR="009705D0" w:rsidRDefault="009705D0" w:rsidP="009705D0">
            <w:pPr>
              <w:pStyle w:val="Heading3"/>
              <w:jc w:val="both"/>
              <w:rPr>
                <w:b/>
                <w:bCs/>
              </w:rPr>
            </w:pPr>
            <w:r>
              <w:rPr>
                <w:b/>
                <w:bCs/>
              </w:rPr>
              <w:t>Head, Corporate Finance and Advisory –Disposals, Project Finance, Private Placements, Debt Raising</w:t>
            </w:r>
          </w:p>
          <w:p w14:paraId="599E6626" w14:textId="77777777" w:rsidR="00A90A1C" w:rsidRDefault="009705D0" w:rsidP="009705D0">
            <w:pPr>
              <w:pStyle w:val="ListParagraph"/>
            </w:pPr>
            <w:r w:rsidRPr="00270C7E">
              <w:t xml:space="preserve">Performed financial analysis, thorough DCF and Real Options modelling and valuation of a number of </w:t>
            </w:r>
            <w:r w:rsidR="00A90A1C">
              <w:t>projects and transactions</w:t>
            </w:r>
            <w:r w:rsidRPr="00270C7E">
              <w:t xml:space="preserve"> in Central and Eastern </w:t>
            </w:r>
            <w:proofErr w:type="gramStart"/>
            <w:r w:rsidRPr="00270C7E">
              <w:t>Europe;</w:t>
            </w:r>
            <w:proofErr w:type="gramEnd"/>
          </w:p>
          <w:p w14:paraId="0F579DDE" w14:textId="5F749E60" w:rsidR="009705D0" w:rsidRPr="00270C7E" w:rsidRDefault="009705D0" w:rsidP="009705D0">
            <w:pPr>
              <w:pStyle w:val="ListParagraph"/>
            </w:pPr>
            <w:r w:rsidRPr="00270C7E">
              <w:t xml:space="preserve">Advised investors </w:t>
            </w:r>
            <w:r w:rsidR="00A90A1C">
              <w:t>for</w:t>
            </w:r>
            <w:r w:rsidRPr="00270C7E">
              <w:t xml:space="preserve"> privatisation </w:t>
            </w:r>
            <w:r w:rsidR="00A90A1C">
              <w:t>transactions</w:t>
            </w:r>
            <w:r w:rsidRPr="00270C7E">
              <w:t>, actively discussed and negotiated valuation assumptions ran multiple scenarios and sensitivities;</w:t>
            </w:r>
          </w:p>
          <w:p w14:paraId="55107D94" w14:textId="17ECC0EA" w:rsidR="009705D0" w:rsidRDefault="009705D0" w:rsidP="009705D0">
            <w:pPr>
              <w:pStyle w:val="ListParagraph"/>
              <w:rPr>
                <w:b/>
                <w:bCs/>
              </w:rPr>
            </w:pPr>
            <w:r>
              <w:t xml:space="preserve">Working with two former HSBC directors, advised a number of </w:t>
            </w:r>
            <w:proofErr w:type="gramStart"/>
            <w:r>
              <w:t>early stage</w:t>
            </w:r>
            <w:proofErr w:type="gramEnd"/>
            <w:r>
              <w:t xml:space="preserve"> companies on private equity funding, modelled, valued and prepared synopses and memoranda of the investment opportunities, developed and negotiated funding structures, terms and conditions</w:t>
            </w:r>
            <w:r w:rsidR="00A90A1C">
              <w:t>.</w:t>
            </w:r>
          </w:p>
        </w:tc>
      </w:tr>
      <w:tr w:rsidR="009705D0" w14:paraId="5F17BB43" w14:textId="77777777" w:rsidTr="00B62658">
        <w:tc>
          <w:tcPr>
            <w:tcW w:w="1233" w:type="dxa"/>
            <w:tcBorders>
              <w:top w:val="single" w:sz="4" w:space="0" w:color="auto"/>
            </w:tcBorders>
            <w:shd w:val="clear" w:color="auto" w:fill="auto"/>
          </w:tcPr>
          <w:p w14:paraId="03CB6470" w14:textId="13A40578" w:rsidR="009705D0" w:rsidRDefault="009705D0" w:rsidP="009705D0">
            <w:r>
              <w:t>2007-2013</w:t>
            </w:r>
          </w:p>
        </w:tc>
        <w:tc>
          <w:tcPr>
            <w:tcW w:w="9755" w:type="dxa"/>
            <w:gridSpan w:val="3"/>
            <w:tcBorders>
              <w:top w:val="single" w:sz="4" w:space="0" w:color="auto"/>
            </w:tcBorders>
            <w:shd w:val="clear" w:color="auto" w:fill="auto"/>
          </w:tcPr>
          <w:p w14:paraId="11B16FB9" w14:textId="31AF2803" w:rsidR="009705D0" w:rsidRDefault="009705D0" w:rsidP="009705D0">
            <w:pPr>
              <w:rPr>
                <w:b/>
                <w:bCs/>
              </w:rPr>
            </w:pPr>
            <w:r>
              <w:rPr>
                <w:b/>
                <w:bCs/>
              </w:rPr>
              <w:t xml:space="preserve">AMPHORA CAPITAL AD - </w:t>
            </w:r>
            <w:r w:rsidRPr="006838D8">
              <w:rPr>
                <w:b/>
                <w:bCs/>
              </w:rPr>
              <w:t xml:space="preserve">Regional </w:t>
            </w:r>
            <w:r>
              <w:rPr>
                <w:b/>
                <w:bCs/>
              </w:rPr>
              <w:t>Corp. Fin. Advisory</w:t>
            </w:r>
            <w:r w:rsidRPr="006838D8">
              <w:rPr>
                <w:b/>
                <w:bCs/>
              </w:rPr>
              <w:t xml:space="preserve"> and Private Equity House</w:t>
            </w:r>
          </w:p>
        </w:tc>
      </w:tr>
      <w:tr w:rsidR="009705D0" w14:paraId="7F2592CB" w14:textId="77777777" w:rsidTr="00B62658">
        <w:tc>
          <w:tcPr>
            <w:tcW w:w="1233" w:type="dxa"/>
            <w:tcBorders>
              <w:bottom w:val="single" w:sz="4" w:space="0" w:color="auto"/>
            </w:tcBorders>
            <w:shd w:val="clear" w:color="auto" w:fill="auto"/>
          </w:tcPr>
          <w:p w14:paraId="2C77D5E1" w14:textId="77777777" w:rsidR="009705D0" w:rsidRDefault="009705D0" w:rsidP="009705D0"/>
        </w:tc>
        <w:tc>
          <w:tcPr>
            <w:tcW w:w="9755" w:type="dxa"/>
            <w:gridSpan w:val="3"/>
            <w:tcBorders>
              <w:bottom w:val="single" w:sz="4" w:space="0" w:color="auto"/>
            </w:tcBorders>
            <w:shd w:val="clear" w:color="auto" w:fill="auto"/>
          </w:tcPr>
          <w:p w14:paraId="5F9A6C66" w14:textId="77777777" w:rsidR="009705D0" w:rsidRDefault="009705D0" w:rsidP="009705D0">
            <w:pPr>
              <w:pStyle w:val="Heading3"/>
              <w:rPr>
                <w:b/>
                <w:bCs/>
              </w:rPr>
            </w:pPr>
            <w:r>
              <w:rPr>
                <w:b/>
                <w:bCs/>
              </w:rPr>
              <w:t xml:space="preserve">Partner, Corporate Finance and Advisory –Project Structuring &amp;Finance, Corporate Finance, Private Equity   </w:t>
            </w:r>
          </w:p>
          <w:p w14:paraId="423D6424" w14:textId="77777777" w:rsidR="009705D0" w:rsidRPr="00C358B1" w:rsidRDefault="009705D0" w:rsidP="009705D0">
            <w:pPr>
              <w:pStyle w:val="ListParagraph"/>
            </w:pPr>
            <w:r w:rsidRPr="00C358B1">
              <w:t>Structured private equity funds to finance early emerging market opportunities in South Eastern Europe</w:t>
            </w:r>
          </w:p>
          <w:p w14:paraId="48377FCF" w14:textId="77777777" w:rsidR="009705D0" w:rsidRPr="00C358B1" w:rsidRDefault="009705D0" w:rsidP="009705D0">
            <w:pPr>
              <w:pStyle w:val="ListParagraph"/>
            </w:pPr>
            <w:r w:rsidRPr="00C358B1">
              <w:t xml:space="preserve">Structured projects and arranged finance for </w:t>
            </w:r>
            <w:proofErr w:type="gramStart"/>
            <w:r w:rsidRPr="00C358B1">
              <w:t>a number of</w:t>
            </w:r>
            <w:proofErr w:type="gramEnd"/>
            <w:r w:rsidRPr="00C358B1">
              <w:t xml:space="preserve"> high-return ventures, most of which saw their completion with high degree of success.</w:t>
            </w:r>
          </w:p>
          <w:p w14:paraId="142F1406" w14:textId="77777777" w:rsidR="009705D0" w:rsidRPr="00C358B1" w:rsidRDefault="009705D0" w:rsidP="009705D0">
            <w:pPr>
              <w:pStyle w:val="ListParagraph"/>
            </w:pPr>
            <w:r w:rsidRPr="00C358B1">
              <w:t>Engineered tax-efficient and risk-balanced funding structures including entry and exit options maintaining flexibility and simplicity of overall set-up</w:t>
            </w:r>
          </w:p>
          <w:p w14:paraId="2E0B360E" w14:textId="3B3AE93C" w:rsidR="009705D0" w:rsidRPr="00C31925" w:rsidRDefault="009705D0" w:rsidP="009705D0">
            <w:pPr>
              <w:jc w:val="both"/>
              <w:rPr>
                <w:b/>
                <w:bCs/>
              </w:rPr>
            </w:pPr>
            <w:r w:rsidRPr="00C358B1">
              <w:t xml:space="preserve">Advised on </w:t>
            </w:r>
            <w:proofErr w:type="gramStart"/>
            <w:r w:rsidRPr="00C358B1">
              <w:t>a number of</w:t>
            </w:r>
            <w:proofErr w:type="gramEnd"/>
            <w:r w:rsidRPr="00C358B1">
              <w:t xml:space="preserve"> high-growth acquisition and merger </w:t>
            </w:r>
            <w:r>
              <w:t>opportunities</w:t>
            </w:r>
          </w:p>
        </w:tc>
      </w:tr>
      <w:tr w:rsidR="009705D0" w14:paraId="6BDA1711" w14:textId="77777777" w:rsidTr="00B62658">
        <w:tc>
          <w:tcPr>
            <w:tcW w:w="1233" w:type="dxa"/>
            <w:tcBorders>
              <w:top w:val="single" w:sz="4" w:space="0" w:color="auto"/>
            </w:tcBorders>
            <w:shd w:val="clear" w:color="auto" w:fill="auto"/>
          </w:tcPr>
          <w:p w14:paraId="4A0CDFB5" w14:textId="76A2038C" w:rsidR="009705D0" w:rsidRDefault="009705D0" w:rsidP="009705D0">
            <w:r>
              <w:t>2005-2007</w:t>
            </w:r>
          </w:p>
        </w:tc>
        <w:tc>
          <w:tcPr>
            <w:tcW w:w="9755" w:type="dxa"/>
            <w:gridSpan w:val="3"/>
            <w:tcBorders>
              <w:top w:val="single" w:sz="4" w:space="0" w:color="auto"/>
            </w:tcBorders>
            <w:shd w:val="clear" w:color="auto" w:fill="auto"/>
          </w:tcPr>
          <w:p w14:paraId="7028E4B0" w14:textId="1DAB58AB" w:rsidR="009705D0" w:rsidRDefault="009705D0" w:rsidP="009705D0">
            <w:pPr>
              <w:rPr>
                <w:b/>
                <w:bCs/>
              </w:rPr>
            </w:pPr>
            <w:r>
              <w:rPr>
                <w:b/>
                <w:bCs/>
              </w:rPr>
              <w:t>BULGARIA AIR AD – National Carrier of Bulgaria</w:t>
            </w:r>
          </w:p>
        </w:tc>
      </w:tr>
      <w:tr w:rsidR="009705D0" w14:paraId="79F0E682" w14:textId="77777777" w:rsidTr="00B62658">
        <w:tc>
          <w:tcPr>
            <w:tcW w:w="1233" w:type="dxa"/>
            <w:tcBorders>
              <w:bottom w:val="single" w:sz="4" w:space="0" w:color="auto"/>
            </w:tcBorders>
            <w:shd w:val="clear" w:color="auto" w:fill="auto"/>
          </w:tcPr>
          <w:p w14:paraId="26A821CB" w14:textId="77777777" w:rsidR="009705D0" w:rsidRDefault="009705D0" w:rsidP="009705D0"/>
        </w:tc>
        <w:tc>
          <w:tcPr>
            <w:tcW w:w="9755" w:type="dxa"/>
            <w:gridSpan w:val="3"/>
            <w:tcBorders>
              <w:bottom w:val="single" w:sz="4" w:space="0" w:color="auto"/>
            </w:tcBorders>
            <w:shd w:val="clear" w:color="auto" w:fill="auto"/>
          </w:tcPr>
          <w:p w14:paraId="0AC181B8" w14:textId="77777777" w:rsidR="009705D0" w:rsidRPr="00C358B1" w:rsidRDefault="009705D0" w:rsidP="009705D0">
            <w:pPr>
              <w:rPr>
                <w:b/>
                <w:bCs/>
                <w:i/>
                <w:iCs/>
              </w:rPr>
            </w:pPr>
            <w:r w:rsidRPr="00C358B1">
              <w:rPr>
                <w:b/>
                <w:bCs/>
                <w:i/>
                <w:iCs/>
              </w:rPr>
              <w:t>CEO &amp; Accountable Manager, Member of the Board</w:t>
            </w:r>
          </w:p>
          <w:p w14:paraId="3C9A3288" w14:textId="77777777" w:rsidR="009705D0" w:rsidRPr="00C358B1" w:rsidRDefault="009705D0" w:rsidP="009705D0">
            <w:pPr>
              <w:pStyle w:val="ListParagraph"/>
            </w:pPr>
            <w:r w:rsidRPr="00C358B1">
              <w:t>Successfully implemented the prestigious IATA programme for operational safety thus bringing company to European standards of security and safety</w:t>
            </w:r>
          </w:p>
          <w:p w14:paraId="02915836" w14:textId="77777777" w:rsidR="009705D0" w:rsidRPr="00C358B1" w:rsidRDefault="009705D0" w:rsidP="009705D0">
            <w:pPr>
              <w:pStyle w:val="ListParagraph"/>
            </w:pPr>
            <w:r w:rsidRPr="00C358B1">
              <w:t xml:space="preserve">Managed, devised and played instrumental role and successfully implemented programmes for maintaining market share of company in a period of opening skies, heavy competition and a number of new low cost </w:t>
            </w:r>
            <w:proofErr w:type="gramStart"/>
            <w:r w:rsidRPr="00C358B1">
              <w:t>entrants</w:t>
            </w:r>
            <w:proofErr w:type="gramEnd"/>
          </w:p>
          <w:p w14:paraId="1CF1CA10" w14:textId="77777777" w:rsidR="009705D0" w:rsidRPr="00C358B1" w:rsidRDefault="009705D0" w:rsidP="009705D0">
            <w:pPr>
              <w:pStyle w:val="ListParagraph"/>
            </w:pPr>
            <w:r w:rsidRPr="00C358B1">
              <w:t>Crisis-managed delay of leased aircraft deliveries in the busy summer of 2006</w:t>
            </w:r>
          </w:p>
          <w:p w14:paraId="02E1955F" w14:textId="77777777" w:rsidR="009705D0" w:rsidRPr="00C358B1" w:rsidRDefault="009705D0" w:rsidP="009705D0">
            <w:pPr>
              <w:pStyle w:val="ListParagraph"/>
            </w:pPr>
            <w:r w:rsidRPr="00C358B1">
              <w:t>Managed the whole process of sustaining company development including motivating staff in time of privatisation</w:t>
            </w:r>
          </w:p>
          <w:p w14:paraId="232C018E" w14:textId="77777777" w:rsidR="009705D0" w:rsidRPr="00C358B1" w:rsidRDefault="009705D0" w:rsidP="009705D0">
            <w:pPr>
              <w:pStyle w:val="ListParagraph"/>
            </w:pPr>
            <w:r w:rsidRPr="00C358B1">
              <w:t>Managed privatisation process effects on overall performance of company and managed to sustain high motivation</w:t>
            </w:r>
          </w:p>
          <w:p w14:paraId="6A446639" w14:textId="77777777" w:rsidR="009705D0" w:rsidRPr="00C358B1" w:rsidRDefault="009705D0" w:rsidP="009705D0">
            <w:pPr>
              <w:pStyle w:val="ListParagraph"/>
            </w:pPr>
            <w:r w:rsidRPr="00C358B1">
              <w:t>Initiated and managed to see the first positive effects of restructuring programmed aimed at streamlining and improving management practices and introduced mechanisms of sustaining and upholding integrity amongst different types of staff</w:t>
            </w:r>
          </w:p>
          <w:p w14:paraId="7BC97094" w14:textId="452D709A" w:rsidR="009705D0" w:rsidRPr="00C31925" w:rsidRDefault="009705D0" w:rsidP="009705D0">
            <w:pPr>
              <w:pStyle w:val="ListParagraph"/>
            </w:pPr>
            <w:r w:rsidRPr="00C358B1">
              <w:t>Successfully introduced control systems and systems of checks and balances</w:t>
            </w:r>
          </w:p>
        </w:tc>
      </w:tr>
      <w:tr w:rsidR="009705D0" w14:paraId="36E39907" w14:textId="77777777" w:rsidTr="00B62658">
        <w:tc>
          <w:tcPr>
            <w:tcW w:w="1233" w:type="dxa"/>
            <w:tcBorders>
              <w:top w:val="single" w:sz="4" w:space="0" w:color="auto"/>
            </w:tcBorders>
            <w:shd w:val="clear" w:color="auto" w:fill="auto"/>
          </w:tcPr>
          <w:p w14:paraId="2F545893" w14:textId="236F3FBA" w:rsidR="009705D0" w:rsidRDefault="009705D0" w:rsidP="009705D0">
            <w:r>
              <w:t>2003-2005</w:t>
            </w:r>
          </w:p>
        </w:tc>
        <w:tc>
          <w:tcPr>
            <w:tcW w:w="9755" w:type="dxa"/>
            <w:gridSpan w:val="3"/>
            <w:tcBorders>
              <w:top w:val="single" w:sz="4" w:space="0" w:color="auto"/>
            </w:tcBorders>
            <w:shd w:val="clear" w:color="auto" w:fill="auto"/>
          </w:tcPr>
          <w:p w14:paraId="51D6C22A" w14:textId="78069417" w:rsidR="009705D0" w:rsidRPr="006838D8" w:rsidRDefault="009705D0" w:rsidP="009705D0">
            <w:pPr>
              <w:rPr>
                <w:b/>
                <w:bCs/>
              </w:rPr>
            </w:pPr>
            <w:r>
              <w:rPr>
                <w:b/>
                <w:bCs/>
              </w:rPr>
              <w:t>MONEYPORT LTD (UK) – Low cost money transfers provider</w:t>
            </w:r>
          </w:p>
        </w:tc>
      </w:tr>
      <w:tr w:rsidR="009705D0" w:rsidRPr="00187290" w14:paraId="3155926B" w14:textId="77777777" w:rsidTr="00B62658">
        <w:tc>
          <w:tcPr>
            <w:tcW w:w="1233" w:type="dxa"/>
            <w:tcBorders>
              <w:bottom w:val="single" w:sz="4" w:space="0" w:color="auto"/>
            </w:tcBorders>
            <w:shd w:val="clear" w:color="auto" w:fill="auto"/>
          </w:tcPr>
          <w:p w14:paraId="29F47B37" w14:textId="77777777" w:rsidR="009705D0" w:rsidRPr="00187290" w:rsidRDefault="009705D0" w:rsidP="009705D0">
            <w:pPr>
              <w:rPr>
                <w:b/>
                <w:bCs/>
              </w:rPr>
            </w:pPr>
          </w:p>
        </w:tc>
        <w:tc>
          <w:tcPr>
            <w:tcW w:w="9755" w:type="dxa"/>
            <w:gridSpan w:val="3"/>
            <w:tcBorders>
              <w:bottom w:val="single" w:sz="4" w:space="0" w:color="auto"/>
            </w:tcBorders>
            <w:shd w:val="clear" w:color="auto" w:fill="auto"/>
          </w:tcPr>
          <w:p w14:paraId="6FAFCD91" w14:textId="77F3FB75" w:rsidR="009705D0" w:rsidRDefault="009705D0" w:rsidP="009705D0">
            <w:pPr>
              <w:rPr>
                <w:b/>
                <w:bCs/>
                <w:i/>
                <w:iCs/>
              </w:rPr>
            </w:pPr>
            <w:r>
              <w:rPr>
                <w:b/>
                <w:bCs/>
                <w:i/>
                <w:iCs/>
              </w:rPr>
              <w:t>Cofounder and CFO with responsibility for Business Development and Strategy</w:t>
            </w:r>
          </w:p>
          <w:p w14:paraId="0CA85CFF" w14:textId="56C15BC0" w:rsidR="009705D0" w:rsidRPr="00270C7E" w:rsidRDefault="009705D0" w:rsidP="009705D0">
            <w:pPr>
              <w:pStyle w:val="ListParagraph"/>
            </w:pPr>
            <w:r>
              <w:t>Started-</w:t>
            </w:r>
            <w:r w:rsidRPr="00270C7E">
              <w:t>up in a boot-strapping mode, developed, reached sustainability and exited successfully the undertaking</w:t>
            </w:r>
          </w:p>
          <w:p w14:paraId="74E8574B" w14:textId="1836E2D2" w:rsidR="009705D0" w:rsidRPr="00270C7E" w:rsidRDefault="009705D0" w:rsidP="009705D0">
            <w:pPr>
              <w:pStyle w:val="ListParagraph"/>
            </w:pPr>
            <w:r w:rsidRPr="00270C7E">
              <w:t>Conceptualised and developed the business model and all the processes and procedures in place</w:t>
            </w:r>
          </w:p>
          <w:p w14:paraId="69BE2521" w14:textId="12A0099C" w:rsidR="009705D0" w:rsidRPr="00270C7E" w:rsidRDefault="009705D0" w:rsidP="009705D0">
            <w:pPr>
              <w:pStyle w:val="ListParagraph"/>
            </w:pPr>
            <w:r w:rsidRPr="00270C7E">
              <w:t>Co-ordinated the development and execution of all the legal instruments required for the business</w:t>
            </w:r>
          </w:p>
          <w:p w14:paraId="209D564D" w14:textId="66D938CA" w:rsidR="009705D0" w:rsidRPr="00270C7E" w:rsidRDefault="009705D0" w:rsidP="009705D0">
            <w:pPr>
              <w:pStyle w:val="ListParagraph"/>
            </w:pPr>
            <w:r w:rsidRPr="00270C7E">
              <w:t>Established relations with key banking and payment services providers</w:t>
            </w:r>
          </w:p>
          <w:p w14:paraId="36649ABD" w14:textId="78CD6180" w:rsidR="009705D0" w:rsidRPr="00270C7E" w:rsidRDefault="009705D0" w:rsidP="009705D0">
            <w:pPr>
              <w:pStyle w:val="ListParagraph"/>
            </w:pPr>
            <w:r w:rsidRPr="00270C7E">
              <w:t>Developed, implemented and managed for growth the proprietary client-servicing FOREX platform</w:t>
            </w:r>
          </w:p>
          <w:p w14:paraId="145BF051" w14:textId="77777777" w:rsidR="009705D0" w:rsidRPr="00270C7E" w:rsidRDefault="009705D0" w:rsidP="009705D0">
            <w:pPr>
              <w:pStyle w:val="ListParagraph"/>
            </w:pPr>
            <w:r w:rsidRPr="00270C7E">
              <w:t>Achieved impressive growth, solid client base and sustainable state within three years from inception</w:t>
            </w:r>
          </w:p>
          <w:p w14:paraId="7A22566B" w14:textId="0538FBC0" w:rsidR="009705D0" w:rsidRDefault="009705D0" w:rsidP="009705D0">
            <w:pPr>
              <w:pStyle w:val="ListParagraph"/>
            </w:pPr>
            <w:r w:rsidRPr="00270C7E">
              <w:t>Existed successfully</w:t>
            </w:r>
            <w:r>
              <w:t xml:space="preserve"> the business through a private disposal.</w:t>
            </w:r>
          </w:p>
          <w:p w14:paraId="447400F5" w14:textId="1069C5DF" w:rsidR="009705D0" w:rsidRDefault="009705D0" w:rsidP="009705D0">
            <w:pPr>
              <w:jc w:val="both"/>
              <w:rPr>
                <w:b/>
                <w:bCs/>
              </w:rPr>
            </w:pPr>
          </w:p>
        </w:tc>
      </w:tr>
      <w:tr w:rsidR="009705D0" w14:paraId="54D41B92" w14:textId="77777777" w:rsidTr="00B62658">
        <w:tc>
          <w:tcPr>
            <w:tcW w:w="1233" w:type="dxa"/>
            <w:tcBorders>
              <w:top w:val="single" w:sz="4" w:space="0" w:color="auto"/>
            </w:tcBorders>
            <w:shd w:val="clear" w:color="auto" w:fill="auto"/>
          </w:tcPr>
          <w:p w14:paraId="70D2922C" w14:textId="7335ADFC" w:rsidR="009705D0" w:rsidRDefault="009705D0" w:rsidP="009705D0">
            <w:r>
              <w:t>2000-2002</w:t>
            </w:r>
          </w:p>
        </w:tc>
        <w:tc>
          <w:tcPr>
            <w:tcW w:w="9755" w:type="dxa"/>
            <w:gridSpan w:val="3"/>
            <w:tcBorders>
              <w:top w:val="single" w:sz="4" w:space="0" w:color="auto"/>
            </w:tcBorders>
            <w:shd w:val="clear" w:color="auto" w:fill="auto"/>
          </w:tcPr>
          <w:p w14:paraId="518ACC80" w14:textId="4E2EE4B7" w:rsidR="009705D0" w:rsidRPr="006838D8" w:rsidRDefault="009705D0" w:rsidP="009705D0">
            <w:pPr>
              <w:rPr>
                <w:b/>
                <w:bCs/>
              </w:rPr>
            </w:pPr>
            <w:r>
              <w:rPr>
                <w:b/>
                <w:bCs/>
              </w:rPr>
              <w:t>HSBC INVESTMENT BANK PLC (UK)</w:t>
            </w:r>
          </w:p>
        </w:tc>
      </w:tr>
      <w:tr w:rsidR="009705D0" w14:paraId="6CCF4A56" w14:textId="77777777" w:rsidTr="00B62658">
        <w:tc>
          <w:tcPr>
            <w:tcW w:w="1233" w:type="dxa"/>
            <w:tcBorders>
              <w:bottom w:val="single" w:sz="4" w:space="0" w:color="auto"/>
            </w:tcBorders>
            <w:shd w:val="clear" w:color="auto" w:fill="auto"/>
          </w:tcPr>
          <w:p w14:paraId="0D4E9F59" w14:textId="77777777" w:rsidR="009705D0" w:rsidRDefault="009705D0" w:rsidP="009705D0"/>
        </w:tc>
        <w:tc>
          <w:tcPr>
            <w:tcW w:w="9755" w:type="dxa"/>
            <w:gridSpan w:val="3"/>
            <w:tcBorders>
              <w:bottom w:val="single" w:sz="4" w:space="0" w:color="auto"/>
            </w:tcBorders>
            <w:shd w:val="clear" w:color="auto" w:fill="auto"/>
          </w:tcPr>
          <w:p w14:paraId="36049D83" w14:textId="77777777" w:rsidR="009705D0" w:rsidRDefault="009705D0" w:rsidP="009705D0">
            <w:pPr>
              <w:pStyle w:val="Heading3"/>
              <w:rPr>
                <w:b/>
                <w:bCs/>
              </w:rPr>
            </w:pPr>
            <w:r>
              <w:rPr>
                <w:b/>
                <w:bCs/>
              </w:rPr>
              <w:t>Senior Associate, Corporate Finance – Real Options, Valuations, Deal Executions</w:t>
            </w:r>
          </w:p>
          <w:p w14:paraId="6A1B7AD6" w14:textId="77777777" w:rsidR="009705D0" w:rsidRDefault="009705D0" w:rsidP="009705D0">
            <w:pPr>
              <w:pStyle w:val="ListParagraph"/>
            </w:pPr>
            <w:r>
              <w:t xml:space="preserve">Applied Real Options modelling and valuations to a number of projects across Energy, Telecoms and Technology Industry Sectors; Acted as the investment bank’s main expert in Real Option valuations, and participated in the modelling stages of most projects with volatility-sensitive value; Provided guidance and </w:t>
            </w:r>
            <w:r>
              <w:lastRenderedPageBreak/>
              <w:t>advice on the applicability and rationale of applying  Real Options Valuation, and helped spread this expertise around the bank;</w:t>
            </w:r>
          </w:p>
          <w:p w14:paraId="3B445230" w14:textId="77777777" w:rsidR="009705D0" w:rsidRDefault="009705D0" w:rsidP="009705D0">
            <w:pPr>
              <w:pStyle w:val="ListParagraph"/>
            </w:pPr>
            <w:r w:rsidRPr="00CF6368">
              <w:t>Routinely performed company valuations</w:t>
            </w:r>
            <w:r>
              <w:t xml:space="preserve"> and developed complex and detailed </w:t>
            </w:r>
            <w:r w:rsidRPr="00CF6368">
              <w:t>model</w:t>
            </w:r>
            <w:r>
              <w:t>s</w:t>
            </w:r>
            <w:r w:rsidRPr="00CF6368">
              <w:t xml:space="preserve"> including M&amp;A, LBO/MBO, DCF, </w:t>
            </w:r>
            <w:r>
              <w:t xml:space="preserve">ran updates for models through transaction execution stages and during negotiation process, conducted realistic financial, strategic and market </w:t>
            </w:r>
            <w:r w:rsidRPr="00CF6368">
              <w:t>analyses as part of marketing and transaction execution</w:t>
            </w:r>
            <w:r>
              <w:t>, provided detailed and objective justification of assumptions, analysed and justified sources of value, actively communicated, discussed and negotiated assumptions with team members, clients and all relevant parties;</w:t>
            </w:r>
          </w:p>
          <w:p w14:paraId="4711CB3C" w14:textId="77777777" w:rsidR="009705D0" w:rsidRDefault="009705D0" w:rsidP="009705D0">
            <w:pPr>
              <w:pStyle w:val="ListParagraph"/>
            </w:pPr>
            <w:r>
              <w:t>Took significant part in a number of high-profile transaction executions,  played significant roles at all stages of the execution process, took active part in preparation of data-rooms, conduct of due diligence, instructed and worked with lawyers and auditors, helped prepare synopses and memoranda, ran financial models and communicated with all parties;</w:t>
            </w:r>
          </w:p>
          <w:p w14:paraId="10AEA7CC" w14:textId="77777777" w:rsidR="009705D0" w:rsidRDefault="009705D0" w:rsidP="009705D0">
            <w:pPr>
              <w:pStyle w:val="ListParagraph"/>
            </w:pPr>
            <w:r>
              <w:t xml:space="preserve">Regularly contributed to marketing efforts though generation of ideas and preparation of </w:t>
            </w:r>
            <w:proofErr w:type="gramStart"/>
            <w:r>
              <w:t>value added</w:t>
            </w:r>
            <w:proofErr w:type="gramEnd"/>
            <w:r>
              <w:t xml:space="preserve"> presentations, incorporating thorough sector and company analysis, routinely presented to clients; </w:t>
            </w:r>
          </w:p>
          <w:p w14:paraId="6FAD7786" w14:textId="1767FF46" w:rsidR="009705D0" w:rsidRDefault="009705D0" w:rsidP="009705D0">
            <w:pPr>
              <w:pStyle w:val="ListParagraph"/>
              <w:rPr>
                <w:b/>
                <w:bCs/>
              </w:rPr>
            </w:pPr>
            <w:r>
              <w:t>Example transactions include advising a leading 3G player in their auctions throughout Europe, disposal of stake in a Chinese telecom equipment manufacturer, disposal of a non-core division of a UK telecom equipment manufacturer, cross-border M&amp;A of a European technology company with a Far East counterpart.</w:t>
            </w:r>
          </w:p>
        </w:tc>
      </w:tr>
      <w:tr w:rsidR="009705D0" w14:paraId="3B46257D" w14:textId="77777777" w:rsidTr="00B62658">
        <w:tc>
          <w:tcPr>
            <w:tcW w:w="1233" w:type="dxa"/>
            <w:tcBorders>
              <w:top w:val="single" w:sz="4" w:space="0" w:color="auto"/>
            </w:tcBorders>
            <w:shd w:val="clear" w:color="auto" w:fill="auto"/>
          </w:tcPr>
          <w:p w14:paraId="33D0AD72" w14:textId="77777777" w:rsidR="009705D0" w:rsidRDefault="009705D0" w:rsidP="009705D0">
            <w:r>
              <w:lastRenderedPageBreak/>
              <w:t>1994-1998</w:t>
            </w:r>
          </w:p>
        </w:tc>
        <w:tc>
          <w:tcPr>
            <w:tcW w:w="9755" w:type="dxa"/>
            <w:gridSpan w:val="3"/>
            <w:tcBorders>
              <w:top w:val="single" w:sz="4" w:space="0" w:color="auto"/>
            </w:tcBorders>
            <w:shd w:val="clear" w:color="auto" w:fill="auto"/>
          </w:tcPr>
          <w:p w14:paraId="3826959B" w14:textId="387786FC" w:rsidR="009705D0" w:rsidRPr="006838D8" w:rsidRDefault="009705D0" w:rsidP="009705D0">
            <w:pPr>
              <w:rPr>
                <w:b/>
                <w:bCs/>
              </w:rPr>
            </w:pPr>
            <w:r w:rsidRPr="006838D8">
              <w:rPr>
                <w:b/>
                <w:bCs/>
              </w:rPr>
              <w:t xml:space="preserve">HARSEV CO KDA </w:t>
            </w:r>
            <w:r>
              <w:rPr>
                <w:b/>
                <w:bCs/>
              </w:rPr>
              <w:t xml:space="preserve">(Bulgaria) </w:t>
            </w:r>
            <w:r w:rsidRPr="006838D8">
              <w:rPr>
                <w:b/>
                <w:bCs/>
              </w:rPr>
              <w:t>– Regional Boutique Investment Bank and Private Equity House</w:t>
            </w:r>
          </w:p>
        </w:tc>
      </w:tr>
      <w:tr w:rsidR="009705D0" w14:paraId="163049BF" w14:textId="77777777" w:rsidTr="00B62658">
        <w:tc>
          <w:tcPr>
            <w:tcW w:w="1233" w:type="dxa"/>
            <w:shd w:val="clear" w:color="auto" w:fill="auto"/>
          </w:tcPr>
          <w:p w14:paraId="13028CA1" w14:textId="77777777" w:rsidR="009705D0" w:rsidRDefault="009705D0" w:rsidP="009705D0"/>
        </w:tc>
        <w:tc>
          <w:tcPr>
            <w:tcW w:w="9755" w:type="dxa"/>
            <w:gridSpan w:val="3"/>
            <w:shd w:val="clear" w:color="auto" w:fill="auto"/>
          </w:tcPr>
          <w:p w14:paraId="4EAD9322" w14:textId="77777777" w:rsidR="009705D0" w:rsidRDefault="009705D0" w:rsidP="009705D0">
            <w:pPr>
              <w:pStyle w:val="Heading3"/>
              <w:rPr>
                <w:b/>
                <w:bCs/>
              </w:rPr>
            </w:pPr>
            <w:r>
              <w:rPr>
                <w:b/>
                <w:bCs/>
              </w:rPr>
              <w:t>Transaction Manager</w:t>
            </w:r>
          </w:p>
          <w:p w14:paraId="73F26B18" w14:textId="77777777" w:rsidR="009705D0" w:rsidRPr="002741B4" w:rsidRDefault="009705D0" w:rsidP="009705D0">
            <w:pPr>
              <w:pStyle w:val="ListParagraph"/>
            </w:pPr>
            <w:r>
              <w:t>Lead and motivated a team of three junior analysts, to p</w:t>
            </w:r>
            <w:r w:rsidRPr="002741B4">
              <w:t xml:space="preserve">erform </w:t>
            </w:r>
            <w:r>
              <w:t xml:space="preserve">on a regular basis high-quality </w:t>
            </w:r>
            <w:r w:rsidRPr="002741B4">
              <w:t>company and project valuations</w:t>
            </w:r>
            <w:r>
              <w:t>,</w:t>
            </w:r>
            <w:r w:rsidRPr="002741B4">
              <w:t xml:space="preserve"> investment </w:t>
            </w:r>
            <w:r>
              <w:t xml:space="preserve">and privatisation / buy-out </w:t>
            </w:r>
            <w:r w:rsidRPr="002741B4">
              <w:t>proposals</w:t>
            </w:r>
            <w:r>
              <w:t xml:space="preserve">, negotiated  </w:t>
            </w:r>
            <w:r w:rsidRPr="002741B4">
              <w:t xml:space="preserve">with </w:t>
            </w:r>
            <w:r>
              <w:t xml:space="preserve">and advised </w:t>
            </w:r>
            <w:r w:rsidRPr="002741B4">
              <w:t xml:space="preserve">institutional </w:t>
            </w:r>
            <w:r>
              <w:t xml:space="preserve">and private </w:t>
            </w:r>
            <w:r w:rsidRPr="002741B4">
              <w:t xml:space="preserve">investors </w:t>
            </w:r>
            <w:r>
              <w:t xml:space="preserve">and helped successfully complete privatisations, arrange </w:t>
            </w:r>
            <w:r w:rsidRPr="002741B4">
              <w:t>private equity</w:t>
            </w:r>
            <w:r>
              <w:t>, high-yield debt, bank loans,</w:t>
            </w:r>
            <w:r w:rsidRPr="002741B4">
              <w:t xml:space="preserve"> and project financing, </w:t>
            </w:r>
            <w:r>
              <w:t xml:space="preserve">and </w:t>
            </w:r>
            <w:r w:rsidRPr="002741B4">
              <w:t xml:space="preserve">as a result </w:t>
            </w:r>
            <w:r>
              <w:t>significantly contributed to</w:t>
            </w:r>
            <w:r w:rsidRPr="002741B4">
              <w:t xml:space="preserve"> generate revenues in excess of $</w:t>
            </w:r>
            <w:r>
              <w:t>2m</w:t>
            </w:r>
            <w:r w:rsidRPr="002741B4">
              <w:t xml:space="preserve"> of advisory fees</w:t>
            </w:r>
            <w:r>
              <w:t>;</w:t>
            </w:r>
          </w:p>
          <w:p w14:paraId="350EDC90" w14:textId="73E050F3" w:rsidR="009705D0" w:rsidRPr="00C31925" w:rsidRDefault="009705D0" w:rsidP="009705D0">
            <w:pPr>
              <w:pStyle w:val="ListParagraph"/>
            </w:pPr>
            <w:r>
              <w:t>Reviewed and organised the preparation of thorough investment proposals and analysed propositions to Principal Finance Committee and a</w:t>
            </w:r>
            <w:r w:rsidRPr="002741B4">
              <w:t xml:space="preserve">dvised companies in PE funded portfolio, </w:t>
            </w:r>
            <w:r>
              <w:t xml:space="preserve">negotiated with </w:t>
            </w:r>
            <w:r w:rsidRPr="002741B4">
              <w:t>principal investors</w:t>
            </w:r>
            <w:r>
              <w:t xml:space="preserve"> and founder shareholders</w:t>
            </w:r>
            <w:r w:rsidRPr="002741B4">
              <w:t>, advised, monitored, helped structure businesses</w:t>
            </w:r>
            <w:r>
              <w:t>, internal controls and procedures</w:t>
            </w:r>
            <w:r w:rsidRPr="002741B4">
              <w:t>, organise</w:t>
            </w:r>
            <w:r>
              <w:t>d</w:t>
            </w:r>
            <w:r w:rsidRPr="002741B4">
              <w:t xml:space="preserve"> debt finance and provided fully integrated financial and strategic solutions and as a result helped achieve ROI in excess of 50% p.a.</w:t>
            </w:r>
          </w:p>
        </w:tc>
      </w:tr>
      <w:tr w:rsidR="009705D0" w:rsidRPr="001D7278" w14:paraId="6A8F6FE0" w14:textId="77777777" w:rsidTr="00B62658">
        <w:tc>
          <w:tcPr>
            <w:tcW w:w="10988" w:type="dxa"/>
            <w:gridSpan w:val="4"/>
            <w:tcBorders>
              <w:bottom w:val="single" w:sz="4" w:space="0" w:color="auto"/>
            </w:tcBorders>
            <w:shd w:val="clear" w:color="auto" w:fill="D9D9D9"/>
          </w:tcPr>
          <w:p w14:paraId="33E81C38" w14:textId="092489C7" w:rsidR="009705D0" w:rsidRPr="001D7278" w:rsidRDefault="009705D0" w:rsidP="009705D0">
            <w:pPr>
              <w:rPr>
                <w:b/>
                <w:bCs/>
              </w:rPr>
            </w:pPr>
            <w:r w:rsidRPr="001D7278">
              <w:rPr>
                <w:b/>
                <w:bCs/>
              </w:rPr>
              <w:t>EDUCATION</w:t>
            </w:r>
          </w:p>
        </w:tc>
      </w:tr>
      <w:tr w:rsidR="009705D0" w:rsidRPr="00322B78" w14:paraId="1A804804" w14:textId="77777777" w:rsidTr="00B62658">
        <w:tc>
          <w:tcPr>
            <w:tcW w:w="1233" w:type="dxa"/>
            <w:tcBorders>
              <w:top w:val="single" w:sz="4" w:space="0" w:color="auto"/>
            </w:tcBorders>
            <w:shd w:val="clear" w:color="auto" w:fill="auto"/>
          </w:tcPr>
          <w:p w14:paraId="0A2ED69E" w14:textId="6312BBCF" w:rsidR="009705D0" w:rsidRPr="006838D8" w:rsidRDefault="009705D0" w:rsidP="009705D0">
            <w:pPr>
              <w:rPr>
                <w:caps/>
              </w:rPr>
            </w:pPr>
            <w:r w:rsidRPr="006838D8">
              <w:rPr>
                <w:caps/>
              </w:rPr>
              <w:t>2013-2017</w:t>
            </w:r>
          </w:p>
        </w:tc>
        <w:tc>
          <w:tcPr>
            <w:tcW w:w="9755" w:type="dxa"/>
            <w:gridSpan w:val="3"/>
            <w:tcBorders>
              <w:top w:val="single" w:sz="4" w:space="0" w:color="auto"/>
            </w:tcBorders>
            <w:shd w:val="clear" w:color="auto" w:fill="auto"/>
          </w:tcPr>
          <w:p w14:paraId="41EC1F79" w14:textId="124FB811" w:rsidR="009705D0" w:rsidRPr="00322B78" w:rsidRDefault="009705D0" w:rsidP="009705D0">
            <w:pPr>
              <w:rPr>
                <w:b/>
                <w:bCs/>
                <w:caps/>
              </w:rPr>
            </w:pPr>
            <w:r w:rsidRPr="00322B78">
              <w:rPr>
                <w:b/>
                <w:bCs/>
                <w:caps/>
              </w:rPr>
              <w:t>University of National and World Economy</w:t>
            </w:r>
          </w:p>
        </w:tc>
      </w:tr>
      <w:tr w:rsidR="009705D0" w14:paraId="765E6E78" w14:textId="77777777" w:rsidTr="00B62658">
        <w:tc>
          <w:tcPr>
            <w:tcW w:w="1233" w:type="dxa"/>
            <w:tcBorders>
              <w:bottom w:val="single" w:sz="4" w:space="0" w:color="auto"/>
            </w:tcBorders>
            <w:shd w:val="clear" w:color="auto" w:fill="auto"/>
          </w:tcPr>
          <w:p w14:paraId="59A3E960" w14:textId="77777777" w:rsidR="009705D0" w:rsidRPr="006838D8" w:rsidRDefault="009705D0" w:rsidP="009705D0"/>
        </w:tc>
        <w:tc>
          <w:tcPr>
            <w:tcW w:w="9755" w:type="dxa"/>
            <w:gridSpan w:val="3"/>
            <w:tcBorders>
              <w:bottom w:val="single" w:sz="4" w:space="0" w:color="auto"/>
            </w:tcBorders>
            <w:shd w:val="clear" w:color="auto" w:fill="auto"/>
          </w:tcPr>
          <w:p w14:paraId="3CF0A107" w14:textId="6D8BCD58" w:rsidR="009705D0" w:rsidRPr="000374BF" w:rsidRDefault="009705D0" w:rsidP="009705D0">
            <w:pPr>
              <w:rPr>
                <w:b/>
                <w:bCs/>
                <w:i/>
                <w:iCs/>
              </w:rPr>
            </w:pPr>
            <w:r w:rsidRPr="000374BF">
              <w:rPr>
                <w:b/>
                <w:bCs/>
                <w:i/>
                <w:iCs/>
              </w:rPr>
              <w:t>PhD Finance:</w:t>
            </w:r>
            <w:r>
              <w:rPr>
                <w:b/>
                <w:bCs/>
                <w:i/>
                <w:iCs/>
              </w:rPr>
              <w:t xml:space="preserve"> Valuing investments under uncertainty through stochastic modelling and application of real options methodology</w:t>
            </w:r>
          </w:p>
        </w:tc>
      </w:tr>
      <w:tr w:rsidR="009705D0" w:rsidRPr="00322B78" w14:paraId="5622AAFE" w14:textId="77777777" w:rsidTr="00B62658">
        <w:tc>
          <w:tcPr>
            <w:tcW w:w="1233" w:type="dxa"/>
            <w:tcBorders>
              <w:top w:val="single" w:sz="4" w:space="0" w:color="auto"/>
            </w:tcBorders>
            <w:shd w:val="clear" w:color="auto" w:fill="auto"/>
          </w:tcPr>
          <w:p w14:paraId="111EF677" w14:textId="58788D95" w:rsidR="009705D0" w:rsidRPr="006838D8" w:rsidRDefault="009705D0" w:rsidP="009705D0">
            <w:pPr>
              <w:rPr>
                <w:caps/>
              </w:rPr>
            </w:pPr>
            <w:r w:rsidRPr="006838D8">
              <w:rPr>
                <w:caps/>
              </w:rPr>
              <w:t>1998-2000</w:t>
            </w:r>
          </w:p>
        </w:tc>
        <w:tc>
          <w:tcPr>
            <w:tcW w:w="9755" w:type="dxa"/>
            <w:gridSpan w:val="3"/>
            <w:tcBorders>
              <w:top w:val="single" w:sz="4" w:space="0" w:color="auto"/>
            </w:tcBorders>
            <w:shd w:val="clear" w:color="auto" w:fill="auto"/>
          </w:tcPr>
          <w:p w14:paraId="6BE1F28B" w14:textId="37ACC581" w:rsidR="009705D0" w:rsidRPr="00322B78" w:rsidRDefault="009705D0" w:rsidP="009705D0">
            <w:pPr>
              <w:rPr>
                <w:b/>
                <w:bCs/>
                <w:caps/>
              </w:rPr>
            </w:pPr>
            <w:r w:rsidRPr="00322B78">
              <w:rPr>
                <w:b/>
                <w:bCs/>
                <w:caps/>
              </w:rPr>
              <w:t>London Business School</w:t>
            </w:r>
          </w:p>
        </w:tc>
      </w:tr>
      <w:tr w:rsidR="009705D0" w:rsidRPr="000374BF" w14:paraId="5C38A6D4" w14:textId="77777777" w:rsidTr="00B62658">
        <w:tc>
          <w:tcPr>
            <w:tcW w:w="1233" w:type="dxa"/>
            <w:tcBorders>
              <w:bottom w:val="single" w:sz="4" w:space="0" w:color="auto"/>
            </w:tcBorders>
            <w:shd w:val="clear" w:color="auto" w:fill="auto"/>
          </w:tcPr>
          <w:p w14:paraId="35655D08" w14:textId="77777777" w:rsidR="009705D0" w:rsidRPr="000374BF" w:rsidRDefault="009705D0" w:rsidP="009705D0">
            <w:pPr>
              <w:rPr>
                <w:b/>
                <w:bCs/>
                <w:i/>
                <w:iCs/>
              </w:rPr>
            </w:pPr>
          </w:p>
        </w:tc>
        <w:tc>
          <w:tcPr>
            <w:tcW w:w="9755" w:type="dxa"/>
            <w:gridSpan w:val="3"/>
            <w:tcBorders>
              <w:bottom w:val="single" w:sz="4" w:space="0" w:color="auto"/>
            </w:tcBorders>
            <w:shd w:val="clear" w:color="auto" w:fill="auto"/>
          </w:tcPr>
          <w:p w14:paraId="27A76774" w14:textId="0576D36D" w:rsidR="009705D0" w:rsidRPr="000374BF" w:rsidRDefault="009705D0" w:rsidP="009705D0">
            <w:pPr>
              <w:rPr>
                <w:b/>
                <w:bCs/>
                <w:i/>
                <w:iCs/>
              </w:rPr>
            </w:pPr>
            <w:r w:rsidRPr="000374BF">
              <w:rPr>
                <w:b/>
                <w:bCs/>
                <w:i/>
                <w:iCs/>
              </w:rPr>
              <w:t>MSc Finance. Submitted thesis on valuing risky investments as a set of real options.</w:t>
            </w:r>
          </w:p>
        </w:tc>
      </w:tr>
      <w:tr w:rsidR="009705D0" w:rsidRPr="00322B78" w14:paraId="519ACA33" w14:textId="77777777" w:rsidTr="00B62658">
        <w:tc>
          <w:tcPr>
            <w:tcW w:w="1233" w:type="dxa"/>
            <w:tcBorders>
              <w:top w:val="single" w:sz="4" w:space="0" w:color="auto"/>
            </w:tcBorders>
            <w:shd w:val="clear" w:color="auto" w:fill="auto"/>
          </w:tcPr>
          <w:p w14:paraId="6D1BF9AC" w14:textId="644BDC6B" w:rsidR="009705D0" w:rsidRPr="006838D8" w:rsidRDefault="009705D0" w:rsidP="009705D0">
            <w:pPr>
              <w:rPr>
                <w:caps/>
              </w:rPr>
            </w:pPr>
            <w:r w:rsidRPr="006838D8">
              <w:rPr>
                <w:caps/>
              </w:rPr>
              <w:t>1990-1994</w:t>
            </w:r>
          </w:p>
        </w:tc>
        <w:tc>
          <w:tcPr>
            <w:tcW w:w="9755" w:type="dxa"/>
            <w:gridSpan w:val="3"/>
            <w:tcBorders>
              <w:top w:val="single" w:sz="4" w:space="0" w:color="auto"/>
            </w:tcBorders>
            <w:shd w:val="clear" w:color="auto" w:fill="auto"/>
          </w:tcPr>
          <w:p w14:paraId="65463637" w14:textId="78DBAF8E" w:rsidR="009705D0" w:rsidRPr="00322B78" w:rsidRDefault="009705D0" w:rsidP="009705D0">
            <w:pPr>
              <w:rPr>
                <w:b/>
                <w:bCs/>
                <w:caps/>
              </w:rPr>
            </w:pPr>
            <w:r w:rsidRPr="00322B78">
              <w:rPr>
                <w:b/>
                <w:bCs/>
                <w:caps/>
              </w:rPr>
              <w:t>University of National and World Economy, Sofia, Bulgaria</w:t>
            </w:r>
          </w:p>
        </w:tc>
      </w:tr>
      <w:tr w:rsidR="009705D0" w14:paraId="007DFB28" w14:textId="77777777" w:rsidTr="00B62658">
        <w:tc>
          <w:tcPr>
            <w:tcW w:w="1233" w:type="dxa"/>
            <w:shd w:val="clear" w:color="auto" w:fill="auto"/>
          </w:tcPr>
          <w:p w14:paraId="0D61EFE2" w14:textId="77777777" w:rsidR="009705D0" w:rsidRPr="006838D8" w:rsidRDefault="009705D0" w:rsidP="009705D0"/>
        </w:tc>
        <w:tc>
          <w:tcPr>
            <w:tcW w:w="9755" w:type="dxa"/>
            <w:gridSpan w:val="3"/>
            <w:shd w:val="clear" w:color="auto" w:fill="auto"/>
          </w:tcPr>
          <w:p w14:paraId="0344C674" w14:textId="355B0C87" w:rsidR="009705D0" w:rsidRPr="000374BF" w:rsidRDefault="009705D0" w:rsidP="009705D0">
            <w:pPr>
              <w:rPr>
                <w:b/>
                <w:bCs/>
              </w:rPr>
            </w:pPr>
            <w:r w:rsidRPr="000374BF">
              <w:rPr>
                <w:b/>
                <w:bCs/>
                <w:i/>
                <w:iCs/>
              </w:rPr>
              <w:t>BSc Finance, BSc International Business</w:t>
            </w:r>
          </w:p>
        </w:tc>
      </w:tr>
      <w:tr w:rsidR="009705D0" w:rsidRPr="001D7278" w14:paraId="4D0CAE41" w14:textId="77777777" w:rsidTr="00B62658">
        <w:tc>
          <w:tcPr>
            <w:tcW w:w="10988" w:type="dxa"/>
            <w:gridSpan w:val="4"/>
            <w:shd w:val="clear" w:color="auto" w:fill="D9D9D9"/>
          </w:tcPr>
          <w:p w14:paraId="60EF07D7" w14:textId="706FDA17" w:rsidR="009705D0" w:rsidRPr="001D7278" w:rsidRDefault="009705D0" w:rsidP="009705D0">
            <w:pPr>
              <w:rPr>
                <w:b/>
                <w:bCs/>
              </w:rPr>
            </w:pPr>
            <w:r w:rsidRPr="001D7278">
              <w:rPr>
                <w:b/>
                <w:bCs/>
              </w:rPr>
              <w:t>SKILLS</w:t>
            </w:r>
          </w:p>
        </w:tc>
      </w:tr>
      <w:tr w:rsidR="009705D0" w:rsidRPr="001D7278" w14:paraId="4E84FCBA" w14:textId="77777777" w:rsidTr="00B62658">
        <w:tc>
          <w:tcPr>
            <w:tcW w:w="1233" w:type="dxa"/>
            <w:shd w:val="clear" w:color="auto" w:fill="auto"/>
          </w:tcPr>
          <w:p w14:paraId="14467B7B" w14:textId="77777777" w:rsidR="009705D0" w:rsidRPr="001D7278" w:rsidRDefault="009705D0" w:rsidP="009705D0">
            <w:pPr>
              <w:rPr>
                <w:b/>
                <w:bCs/>
              </w:rPr>
            </w:pPr>
          </w:p>
        </w:tc>
        <w:tc>
          <w:tcPr>
            <w:tcW w:w="1250" w:type="dxa"/>
            <w:shd w:val="clear" w:color="auto" w:fill="auto"/>
          </w:tcPr>
          <w:p w14:paraId="1153C065" w14:textId="4782827B" w:rsidR="009705D0" w:rsidRPr="0067349B" w:rsidRDefault="009705D0" w:rsidP="009705D0">
            <w:r>
              <w:t>Mathematics</w:t>
            </w:r>
          </w:p>
        </w:tc>
        <w:tc>
          <w:tcPr>
            <w:tcW w:w="8505" w:type="dxa"/>
            <w:gridSpan w:val="2"/>
            <w:shd w:val="clear" w:color="auto" w:fill="auto"/>
          </w:tcPr>
          <w:p w14:paraId="6EFBD771" w14:textId="5D002F55" w:rsidR="009705D0" w:rsidRPr="0067349B" w:rsidRDefault="009705D0" w:rsidP="009705D0">
            <w:r>
              <w:t>Advanced calculus and analysis, Probability and stochastics, Statistics, Fractal theory</w:t>
            </w:r>
          </w:p>
        </w:tc>
      </w:tr>
      <w:tr w:rsidR="009705D0" w:rsidRPr="001D7278" w14:paraId="3473F81A" w14:textId="77777777" w:rsidTr="00B62658">
        <w:tc>
          <w:tcPr>
            <w:tcW w:w="1233" w:type="dxa"/>
            <w:shd w:val="clear" w:color="auto" w:fill="auto"/>
          </w:tcPr>
          <w:p w14:paraId="76C36EB3" w14:textId="77777777" w:rsidR="009705D0" w:rsidRPr="001D7278" w:rsidRDefault="009705D0" w:rsidP="009705D0">
            <w:pPr>
              <w:rPr>
                <w:b/>
                <w:bCs/>
              </w:rPr>
            </w:pPr>
          </w:p>
        </w:tc>
        <w:tc>
          <w:tcPr>
            <w:tcW w:w="1250" w:type="dxa"/>
            <w:shd w:val="clear" w:color="auto" w:fill="auto"/>
          </w:tcPr>
          <w:p w14:paraId="427AB3E0" w14:textId="61018BC9" w:rsidR="009705D0" w:rsidRPr="0067349B" w:rsidRDefault="009705D0" w:rsidP="009705D0">
            <w:r w:rsidRPr="0067349B">
              <w:t>Language</w:t>
            </w:r>
            <w:r>
              <w:t>s</w:t>
            </w:r>
          </w:p>
        </w:tc>
        <w:tc>
          <w:tcPr>
            <w:tcW w:w="8505" w:type="dxa"/>
            <w:gridSpan w:val="2"/>
            <w:shd w:val="clear" w:color="auto" w:fill="auto"/>
          </w:tcPr>
          <w:p w14:paraId="7853731C" w14:textId="135C7F81" w:rsidR="009705D0" w:rsidRPr="001D7278" w:rsidRDefault="009705D0" w:rsidP="009705D0">
            <w:pPr>
              <w:rPr>
                <w:b/>
                <w:bCs/>
              </w:rPr>
            </w:pPr>
            <w:r w:rsidRPr="0067349B">
              <w:t>Fluent English, Russian, native Bulgarian</w:t>
            </w:r>
          </w:p>
        </w:tc>
      </w:tr>
      <w:tr w:rsidR="009705D0" w:rsidRPr="001D7278" w14:paraId="7B8746E5" w14:textId="77777777" w:rsidTr="00B62658">
        <w:tc>
          <w:tcPr>
            <w:tcW w:w="1233" w:type="dxa"/>
            <w:shd w:val="clear" w:color="auto" w:fill="auto"/>
          </w:tcPr>
          <w:p w14:paraId="0E42D935" w14:textId="77777777" w:rsidR="009705D0" w:rsidRPr="001D7278" w:rsidRDefault="009705D0" w:rsidP="009705D0">
            <w:pPr>
              <w:rPr>
                <w:b/>
                <w:bCs/>
              </w:rPr>
            </w:pPr>
          </w:p>
        </w:tc>
        <w:tc>
          <w:tcPr>
            <w:tcW w:w="1250" w:type="dxa"/>
            <w:shd w:val="clear" w:color="auto" w:fill="auto"/>
          </w:tcPr>
          <w:p w14:paraId="35939036" w14:textId="5E943767" w:rsidR="009705D0" w:rsidRPr="001D7278" w:rsidRDefault="009705D0" w:rsidP="009705D0">
            <w:pPr>
              <w:rPr>
                <w:b/>
                <w:bCs/>
              </w:rPr>
            </w:pPr>
            <w:r w:rsidRPr="0067349B">
              <w:t>Computer</w:t>
            </w:r>
          </w:p>
        </w:tc>
        <w:tc>
          <w:tcPr>
            <w:tcW w:w="8505" w:type="dxa"/>
            <w:gridSpan w:val="2"/>
            <w:shd w:val="clear" w:color="auto" w:fill="auto"/>
          </w:tcPr>
          <w:p w14:paraId="791025CE" w14:textId="654078FA" w:rsidR="009705D0" w:rsidRPr="00411031" w:rsidRDefault="009705D0" w:rsidP="009705D0">
            <w:r w:rsidRPr="00411031">
              <w:t xml:space="preserve">Productivity suites, </w:t>
            </w:r>
            <w:r>
              <w:t>Frontier Excel with VBA, Advanced Stata, Experienced Python and R-Lang</w:t>
            </w:r>
          </w:p>
        </w:tc>
      </w:tr>
      <w:tr w:rsidR="009705D0" w:rsidRPr="001D7278" w14:paraId="6BBCC240" w14:textId="77777777" w:rsidTr="00B62658">
        <w:tc>
          <w:tcPr>
            <w:tcW w:w="1233" w:type="dxa"/>
            <w:shd w:val="clear" w:color="auto" w:fill="auto"/>
          </w:tcPr>
          <w:p w14:paraId="4C9C8CC0" w14:textId="77777777" w:rsidR="009705D0" w:rsidRPr="001D7278" w:rsidRDefault="009705D0" w:rsidP="009705D0">
            <w:pPr>
              <w:rPr>
                <w:b/>
                <w:bCs/>
              </w:rPr>
            </w:pPr>
          </w:p>
        </w:tc>
        <w:tc>
          <w:tcPr>
            <w:tcW w:w="1250" w:type="dxa"/>
            <w:shd w:val="clear" w:color="auto" w:fill="auto"/>
          </w:tcPr>
          <w:p w14:paraId="2CD08B7A" w14:textId="673BEAE2" w:rsidR="009705D0" w:rsidRPr="0067349B" w:rsidRDefault="009705D0" w:rsidP="009705D0">
            <w:r>
              <w:t>Soft</w:t>
            </w:r>
          </w:p>
        </w:tc>
        <w:tc>
          <w:tcPr>
            <w:tcW w:w="8505" w:type="dxa"/>
            <w:gridSpan w:val="2"/>
            <w:shd w:val="clear" w:color="auto" w:fill="auto"/>
          </w:tcPr>
          <w:p w14:paraId="5783861C" w14:textId="75DBEF4A" w:rsidR="009705D0" w:rsidRPr="00411031" w:rsidRDefault="009705D0" w:rsidP="009705D0">
            <w:r w:rsidRPr="00411031">
              <w:t>P</w:t>
            </w:r>
            <w:r>
              <w:t>resenting, lecturing, negotiating, analytical, leadership</w:t>
            </w:r>
          </w:p>
        </w:tc>
      </w:tr>
    </w:tbl>
    <w:p w14:paraId="67D379AF" w14:textId="77777777" w:rsidR="00DB2FE7" w:rsidRPr="008D14AC" w:rsidRDefault="00DB2FE7" w:rsidP="008D14AC">
      <w:pPr>
        <w:rPr>
          <w:b/>
          <w:bCs/>
        </w:rPr>
      </w:pPr>
    </w:p>
    <w:sectPr w:rsidR="00DB2FE7" w:rsidRPr="008D14AC" w:rsidSect="008D14AC">
      <w:pgSz w:w="11906" w:h="16838" w:code="9"/>
      <w:pgMar w:top="567" w:right="567" w:bottom="567" w:left="567" w:header="720" w:footer="431"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nkGothITC Hv BT">
    <w:altName w:val="Arial Black"/>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0D09"/>
    <w:multiLevelType w:val="hybridMultilevel"/>
    <w:tmpl w:val="763E9C08"/>
    <w:lvl w:ilvl="0" w:tplc="83E457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62725"/>
    <w:multiLevelType w:val="hybridMultilevel"/>
    <w:tmpl w:val="D07CBBB0"/>
    <w:lvl w:ilvl="0" w:tplc="00000000">
      <w:start w:val="1"/>
      <w:numFmt w:val="bullet"/>
      <w:lvlText w:val=""/>
      <w:lvlJc w:val="left"/>
      <w:pPr>
        <w:tabs>
          <w:tab w:val="num" w:pos="1080"/>
        </w:tabs>
        <w:ind w:left="1080" w:hanging="360"/>
      </w:pPr>
      <w:rPr>
        <w:rFonts w:ascii="Symbol" w:eastAsia="Times New Roman" w:hAnsi="Symbol" w:hint="default"/>
      </w:rPr>
    </w:lvl>
    <w:lvl w:ilvl="1" w:tplc="00000000">
      <w:start w:val="1"/>
      <w:numFmt w:val="bullet"/>
      <w:lvlText w:val="o"/>
      <w:lvlJc w:val="left"/>
      <w:pPr>
        <w:tabs>
          <w:tab w:val="num" w:pos="1800"/>
        </w:tabs>
        <w:ind w:left="1800" w:hanging="360"/>
      </w:pPr>
      <w:rPr>
        <w:rFonts w:ascii="Courier New" w:hAnsi="Courier New" w:hint="default"/>
      </w:rPr>
    </w:lvl>
    <w:lvl w:ilvl="2" w:tplc="00000000">
      <w:start w:val="1"/>
      <w:numFmt w:val="bullet"/>
      <w:lvlText w:val=""/>
      <w:lvlJc w:val="left"/>
      <w:pPr>
        <w:tabs>
          <w:tab w:val="num" w:pos="2520"/>
        </w:tabs>
        <w:ind w:left="2520" w:hanging="360"/>
      </w:pPr>
      <w:rPr>
        <w:rFonts w:ascii="Wingdings" w:hAnsi="Wingdings" w:hint="default"/>
      </w:rPr>
    </w:lvl>
    <w:lvl w:ilvl="3" w:tplc="00000000">
      <w:start w:val="1"/>
      <w:numFmt w:val="bullet"/>
      <w:lvlText w:val=""/>
      <w:lvlJc w:val="left"/>
      <w:pPr>
        <w:tabs>
          <w:tab w:val="num" w:pos="3240"/>
        </w:tabs>
        <w:ind w:left="3240" w:hanging="360"/>
      </w:pPr>
      <w:rPr>
        <w:rFonts w:ascii="Symbol" w:eastAsia="Times New Roman" w:hAnsi="Symbol" w:hint="default"/>
      </w:rPr>
    </w:lvl>
    <w:lvl w:ilvl="4" w:tplc="00000000">
      <w:start w:val="1"/>
      <w:numFmt w:val="bullet"/>
      <w:lvlText w:val="o"/>
      <w:lvlJc w:val="left"/>
      <w:pPr>
        <w:tabs>
          <w:tab w:val="num" w:pos="3960"/>
        </w:tabs>
        <w:ind w:left="3960" w:hanging="360"/>
      </w:pPr>
      <w:rPr>
        <w:rFonts w:ascii="Courier New" w:hAnsi="Courier New" w:hint="default"/>
      </w:rPr>
    </w:lvl>
    <w:lvl w:ilvl="5" w:tplc="00000000">
      <w:start w:val="1"/>
      <w:numFmt w:val="bullet"/>
      <w:lvlText w:val=""/>
      <w:lvlJc w:val="left"/>
      <w:pPr>
        <w:tabs>
          <w:tab w:val="num" w:pos="4680"/>
        </w:tabs>
        <w:ind w:left="4680" w:hanging="360"/>
      </w:pPr>
      <w:rPr>
        <w:rFonts w:ascii="Wingdings" w:hAnsi="Wingdings" w:hint="default"/>
      </w:rPr>
    </w:lvl>
    <w:lvl w:ilvl="6" w:tplc="00000000">
      <w:start w:val="1"/>
      <w:numFmt w:val="bullet"/>
      <w:lvlText w:val=""/>
      <w:lvlJc w:val="left"/>
      <w:pPr>
        <w:tabs>
          <w:tab w:val="num" w:pos="5400"/>
        </w:tabs>
        <w:ind w:left="5400" w:hanging="360"/>
      </w:pPr>
      <w:rPr>
        <w:rFonts w:ascii="Symbol" w:eastAsia="Times New Roman" w:hAnsi="Symbol" w:hint="default"/>
      </w:rPr>
    </w:lvl>
    <w:lvl w:ilvl="7" w:tplc="00000000">
      <w:start w:val="1"/>
      <w:numFmt w:val="bullet"/>
      <w:lvlText w:val="o"/>
      <w:lvlJc w:val="left"/>
      <w:pPr>
        <w:tabs>
          <w:tab w:val="num" w:pos="6120"/>
        </w:tabs>
        <w:ind w:left="6120" w:hanging="360"/>
      </w:pPr>
      <w:rPr>
        <w:rFonts w:ascii="Courier New" w:hAnsi="Courier New" w:hint="default"/>
      </w:rPr>
    </w:lvl>
    <w:lvl w:ilvl="8" w:tplc="00000000">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0B972BB"/>
    <w:multiLevelType w:val="hybridMultilevel"/>
    <w:tmpl w:val="9EB2AB2A"/>
    <w:lvl w:ilvl="0" w:tplc="98206D9E">
      <w:start w:val="200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1A3906"/>
    <w:multiLevelType w:val="multilevel"/>
    <w:tmpl w:val="AC105674"/>
    <w:lvl w:ilvl="0">
      <w:start w:val="1990"/>
      <w:numFmt w:val="decimal"/>
      <w:lvlText w:val="%1"/>
      <w:lvlJc w:val="left"/>
      <w:pPr>
        <w:tabs>
          <w:tab w:val="num" w:pos="1440"/>
        </w:tabs>
        <w:ind w:left="1440" w:hanging="1440"/>
      </w:pPr>
      <w:rPr>
        <w:rFonts w:cs="Times New Roman" w:hint="default"/>
      </w:rPr>
    </w:lvl>
    <w:lvl w:ilvl="1">
      <w:start w:val="1993"/>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3C333A33"/>
    <w:multiLevelType w:val="hybridMultilevel"/>
    <w:tmpl w:val="E16225CC"/>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5" w15:restartNumberingAfterBreak="0">
    <w:nsid w:val="426E2C3E"/>
    <w:multiLevelType w:val="hybridMultilevel"/>
    <w:tmpl w:val="8AB24F02"/>
    <w:lvl w:ilvl="0" w:tplc="F5AEC1FC">
      <w:start w:val="2000"/>
      <w:numFmt w:val="bullet"/>
      <w:pStyle w:val="ListParagraph"/>
      <w:lvlText w:val="-"/>
      <w:lvlJc w:val="left"/>
      <w:pPr>
        <w:ind w:left="774" w:hanging="360"/>
      </w:pPr>
      <w:rPr>
        <w:rFonts w:ascii="Times New Roman" w:eastAsia="Times New Roman" w:hAnsi="Times New Roman"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454659C8"/>
    <w:multiLevelType w:val="hybridMultilevel"/>
    <w:tmpl w:val="DFB0E662"/>
    <w:lvl w:ilvl="0" w:tplc="247E559E">
      <w:start w:val="2007"/>
      <w:numFmt w:val="bullet"/>
      <w:lvlText w:val="-"/>
      <w:lvlJc w:val="left"/>
      <w:pPr>
        <w:tabs>
          <w:tab w:val="num" w:pos="360"/>
        </w:tabs>
        <w:ind w:left="360" w:hanging="360"/>
      </w:pPr>
      <w:rPr>
        <w:rFonts w:ascii="Times New Roman" w:eastAsia="Times New Roman" w:hAnsi="Times New Roman" w:hint="default"/>
        <w:w w:val="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eastAsia="Times New Roman"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eastAsia="Times New Roman"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1857558"/>
    <w:multiLevelType w:val="hybridMultilevel"/>
    <w:tmpl w:val="0394A1C6"/>
    <w:lvl w:ilvl="0" w:tplc="9D6A9106">
      <w:start w:val="2007"/>
      <w:numFmt w:val="bullet"/>
      <w:lvlText w:val="-"/>
      <w:lvlJc w:val="left"/>
      <w:pPr>
        <w:tabs>
          <w:tab w:val="num" w:pos="360"/>
        </w:tabs>
        <w:ind w:left="360" w:hanging="360"/>
      </w:pPr>
      <w:rPr>
        <w:rFonts w:ascii="Times New Roman" w:eastAsia="Times New Roman" w:hAnsi="Times New Roman" w:hint="default"/>
        <w:w w:val="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eastAsia="Times New Roman"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eastAsia="Times New Roman"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42F27D9"/>
    <w:multiLevelType w:val="hybridMultilevel"/>
    <w:tmpl w:val="F160A5DC"/>
    <w:lvl w:ilvl="0" w:tplc="7936934A">
      <w:start w:val="2000"/>
      <w:numFmt w:val="bullet"/>
      <w:lvlText w:val="-"/>
      <w:lvlJc w:val="left"/>
      <w:pPr>
        <w:tabs>
          <w:tab w:val="num" w:pos="1072"/>
        </w:tabs>
        <w:ind w:left="1072" w:hanging="360"/>
      </w:pPr>
      <w:rPr>
        <w:rFonts w:ascii="Times New Roman" w:eastAsia="Times New Roman" w:hAnsi="Times New Roman" w:hint="default"/>
      </w:rPr>
    </w:lvl>
    <w:lvl w:ilvl="1" w:tplc="04090003">
      <w:start w:val="1"/>
      <w:numFmt w:val="bullet"/>
      <w:lvlText w:val="o"/>
      <w:lvlJc w:val="left"/>
      <w:pPr>
        <w:tabs>
          <w:tab w:val="num" w:pos="1792"/>
        </w:tabs>
        <w:ind w:left="1792" w:hanging="360"/>
      </w:pPr>
      <w:rPr>
        <w:rFonts w:ascii="Courier New" w:hAnsi="Courier New" w:hint="default"/>
      </w:rPr>
    </w:lvl>
    <w:lvl w:ilvl="2" w:tplc="04090005">
      <w:start w:val="1"/>
      <w:numFmt w:val="bullet"/>
      <w:lvlText w:val=""/>
      <w:lvlJc w:val="left"/>
      <w:pPr>
        <w:tabs>
          <w:tab w:val="num" w:pos="2512"/>
        </w:tabs>
        <w:ind w:left="2512" w:hanging="360"/>
      </w:pPr>
      <w:rPr>
        <w:rFonts w:ascii="Wingdings" w:hAnsi="Wingdings" w:hint="default"/>
      </w:rPr>
    </w:lvl>
    <w:lvl w:ilvl="3" w:tplc="04090001">
      <w:start w:val="1"/>
      <w:numFmt w:val="bullet"/>
      <w:lvlText w:val=""/>
      <w:lvlJc w:val="left"/>
      <w:pPr>
        <w:tabs>
          <w:tab w:val="num" w:pos="3232"/>
        </w:tabs>
        <w:ind w:left="3232" w:hanging="360"/>
      </w:pPr>
      <w:rPr>
        <w:rFonts w:ascii="Symbol" w:eastAsia="Times New Roman" w:hAnsi="Symbol" w:hint="default"/>
      </w:rPr>
    </w:lvl>
    <w:lvl w:ilvl="4" w:tplc="04090003">
      <w:start w:val="1"/>
      <w:numFmt w:val="bullet"/>
      <w:lvlText w:val="o"/>
      <w:lvlJc w:val="left"/>
      <w:pPr>
        <w:tabs>
          <w:tab w:val="num" w:pos="3952"/>
        </w:tabs>
        <w:ind w:left="3952" w:hanging="360"/>
      </w:pPr>
      <w:rPr>
        <w:rFonts w:ascii="Courier New" w:hAnsi="Courier New" w:hint="default"/>
      </w:rPr>
    </w:lvl>
    <w:lvl w:ilvl="5" w:tplc="04090005">
      <w:start w:val="1"/>
      <w:numFmt w:val="bullet"/>
      <w:lvlText w:val=""/>
      <w:lvlJc w:val="left"/>
      <w:pPr>
        <w:tabs>
          <w:tab w:val="num" w:pos="4672"/>
        </w:tabs>
        <w:ind w:left="4672" w:hanging="360"/>
      </w:pPr>
      <w:rPr>
        <w:rFonts w:ascii="Wingdings" w:hAnsi="Wingdings" w:hint="default"/>
      </w:rPr>
    </w:lvl>
    <w:lvl w:ilvl="6" w:tplc="04090001">
      <w:start w:val="1"/>
      <w:numFmt w:val="bullet"/>
      <w:lvlText w:val=""/>
      <w:lvlJc w:val="left"/>
      <w:pPr>
        <w:tabs>
          <w:tab w:val="num" w:pos="5392"/>
        </w:tabs>
        <w:ind w:left="5392" w:hanging="360"/>
      </w:pPr>
      <w:rPr>
        <w:rFonts w:ascii="Symbol" w:eastAsia="Times New Roman" w:hAnsi="Symbol" w:hint="default"/>
      </w:rPr>
    </w:lvl>
    <w:lvl w:ilvl="7" w:tplc="04090003">
      <w:start w:val="1"/>
      <w:numFmt w:val="bullet"/>
      <w:lvlText w:val="o"/>
      <w:lvlJc w:val="left"/>
      <w:pPr>
        <w:tabs>
          <w:tab w:val="num" w:pos="6112"/>
        </w:tabs>
        <w:ind w:left="6112" w:hanging="360"/>
      </w:pPr>
      <w:rPr>
        <w:rFonts w:ascii="Courier New" w:hAnsi="Courier New" w:hint="default"/>
      </w:rPr>
    </w:lvl>
    <w:lvl w:ilvl="8" w:tplc="04090005">
      <w:start w:val="1"/>
      <w:numFmt w:val="bullet"/>
      <w:lvlText w:val=""/>
      <w:lvlJc w:val="left"/>
      <w:pPr>
        <w:tabs>
          <w:tab w:val="num" w:pos="6832"/>
        </w:tabs>
        <w:ind w:left="6832" w:hanging="360"/>
      </w:pPr>
      <w:rPr>
        <w:rFonts w:ascii="Wingdings" w:hAnsi="Wingdings" w:hint="default"/>
      </w:rPr>
    </w:lvl>
  </w:abstractNum>
  <w:abstractNum w:abstractNumId="9" w15:restartNumberingAfterBreak="0">
    <w:nsid w:val="6A5057C9"/>
    <w:multiLevelType w:val="hybridMultilevel"/>
    <w:tmpl w:val="CFDCC0DE"/>
    <w:lvl w:ilvl="0" w:tplc="98206D9E">
      <w:start w:val="2000"/>
      <w:numFmt w:val="bullet"/>
      <w:lvlText w:val="-"/>
      <w:lvlJc w:val="left"/>
      <w:pPr>
        <w:ind w:left="774" w:hanging="360"/>
      </w:pPr>
      <w:rPr>
        <w:rFonts w:ascii="Times New Roman" w:eastAsia="Times New Roman" w:hAnsi="Times New Roman"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16cid:durableId="1806192775">
    <w:abstractNumId w:val="1"/>
  </w:num>
  <w:num w:numId="2" w16cid:durableId="1847475770">
    <w:abstractNumId w:val="3"/>
  </w:num>
  <w:num w:numId="3" w16cid:durableId="110366620">
    <w:abstractNumId w:val="2"/>
  </w:num>
  <w:num w:numId="4" w16cid:durableId="544874778">
    <w:abstractNumId w:val="8"/>
  </w:num>
  <w:num w:numId="5" w16cid:durableId="1478768078">
    <w:abstractNumId w:val="6"/>
  </w:num>
  <w:num w:numId="6" w16cid:durableId="1654675989">
    <w:abstractNumId w:val="7"/>
  </w:num>
  <w:num w:numId="7" w16cid:durableId="2107841654">
    <w:abstractNumId w:val="9"/>
  </w:num>
  <w:num w:numId="8" w16cid:durableId="168063433">
    <w:abstractNumId w:val="4"/>
  </w:num>
  <w:num w:numId="9" w16cid:durableId="1305239349">
    <w:abstractNumId w:val="5"/>
  </w:num>
  <w:num w:numId="10" w16cid:durableId="1674870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3DB2"/>
    <w:rsid w:val="0002203A"/>
    <w:rsid w:val="000374BF"/>
    <w:rsid w:val="00037A1A"/>
    <w:rsid w:val="00046EBF"/>
    <w:rsid w:val="0005422B"/>
    <w:rsid w:val="00081773"/>
    <w:rsid w:val="000C0405"/>
    <w:rsid w:val="000C4372"/>
    <w:rsid w:val="00143DB2"/>
    <w:rsid w:val="0017232B"/>
    <w:rsid w:val="00187290"/>
    <w:rsid w:val="001A0EC5"/>
    <w:rsid w:val="001D7278"/>
    <w:rsid w:val="001F6C25"/>
    <w:rsid w:val="0022235A"/>
    <w:rsid w:val="00242E8B"/>
    <w:rsid w:val="0025507D"/>
    <w:rsid w:val="00270C7E"/>
    <w:rsid w:val="002741B4"/>
    <w:rsid w:val="002B3EF9"/>
    <w:rsid w:val="00302902"/>
    <w:rsid w:val="00322B78"/>
    <w:rsid w:val="00325344"/>
    <w:rsid w:val="003407DC"/>
    <w:rsid w:val="003809E5"/>
    <w:rsid w:val="003A528C"/>
    <w:rsid w:val="003B3FDA"/>
    <w:rsid w:val="003C4EEE"/>
    <w:rsid w:val="00411031"/>
    <w:rsid w:val="00414C01"/>
    <w:rsid w:val="004D56FC"/>
    <w:rsid w:val="004E4EA2"/>
    <w:rsid w:val="00524703"/>
    <w:rsid w:val="0067349B"/>
    <w:rsid w:val="006838D8"/>
    <w:rsid w:val="006C004C"/>
    <w:rsid w:val="006F4885"/>
    <w:rsid w:val="007304E9"/>
    <w:rsid w:val="0077269E"/>
    <w:rsid w:val="007854BF"/>
    <w:rsid w:val="00785EEC"/>
    <w:rsid w:val="007F293C"/>
    <w:rsid w:val="0081595A"/>
    <w:rsid w:val="00854D6E"/>
    <w:rsid w:val="00860DFE"/>
    <w:rsid w:val="008B5E08"/>
    <w:rsid w:val="008D14AC"/>
    <w:rsid w:val="00910814"/>
    <w:rsid w:val="00925CDA"/>
    <w:rsid w:val="009379DB"/>
    <w:rsid w:val="009705D0"/>
    <w:rsid w:val="009A4CCC"/>
    <w:rsid w:val="009F416F"/>
    <w:rsid w:val="00A2034F"/>
    <w:rsid w:val="00A8619B"/>
    <w:rsid w:val="00A90A1C"/>
    <w:rsid w:val="00AD106F"/>
    <w:rsid w:val="00B62658"/>
    <w:rsid w:val="00B74824"/>
    <w:rsid w:val="00B82584"/>
    <w:rsid w:val="00BA1211"/>
    <w:rsid w:val="00BD21CC"/>
    <w:rsid w:val="00BE0370"/>
    <w:rsid w:val="00BE0ABF"/>
    <w:rsid w:val="00C14D33"/>
    <w:rsid w:val="00C31925"/>
    <w:rsid w:val="00C358B1"/>
    <w:rsid w:val="00C442E9"/>
    <w:rsid w:val="00C7706B"/>
    <w:rsid w:val="00C87666"/>
    <w:rsid w:val="00CA2CC3"/>
    <w:rsid w:val="00CB001E"/>
    <w:rsid w:val="00CF190E"/>
    <w:rsid w:val="00CF6368"/>
    <w:rsid w:val="00D13EBB"/>
    <w:rsid w:val="00D1733E"/>
    <w:rsid w:val="00D964BB"/>
    <w:rsid w:val="00DB2FE7"/>
    <w:rsid w:val="00DF4AE1"/>
    <w:rsid w:val="00E2110E"/>
    <w:rsid w:val="00E2278F"/>
    <w:rsid w:val="00E377EB"/>
    <w:rsid w:val="00E661AA"/>
    <w:rsid w:val="00E834A8"/>
    <w:rsid w:val="00EC061A"/>
    <w:rsid w:val="00ED3F1B"/>
    <w:rsid w:val="00F5397E"/>
    <w:rsid w:val="00F60B3F"/>
    <w:rsid w:val="00F638AB"/>
    <w:rsid w:val="00FA17C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767A0A"/>
  <w14:defaultImageDpi w14:val="0"/>
  <w15:docId w15:val="{8D3834C1-18DB-42AF-9AAE-870714B8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4" w:semiHidden="1" w:unhideWhenUsed="1"/>
    <w:lsdException w:name="List Bullet 3" w:semiHidden="1" w:unhideWhenUsed="1"/>
    <w:lsdException w:name="List Bullet 4" w:semiHidden="1" w:unhideWhenUsed="1"/>
    <w:lsdException w:name="Title" w:uiPriority="10" w:qFormat="1"/>
    <w:lsdException w:name="Default Paragraph Font" w:semiHidden="1"/>
    <w:lsdException w:name="Body Text" w:semiHidden="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lsdException w:name="Followed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eastAsia="en-US"/>
    </w:rPr>
  </w:style>
  <w:style w:type="paragraph" w:styleId="Heading1">
    <w:name w:val="heading 1"/>
    <w:basedOn w:val="Normal"/>
    <w:next w:val="Normal"/>
    <w:link w:val="Heading1Char"/>
    <w:uiPriority w:val="99"/>
    <w:pPr>
      <w:keepNext/>
      <w:ind w:hanging="993"/>
      <w:jc w:val="right"/>
      <w:outlineLvl w:val="0"/>
    </w:pPr>
    <w:rPr>
      <w:i/>
      <w:iCs/>
    </w:rPr>
  </w:style>
  <w:style w:type="paragraph" w:styleId="Heading2">
    <w:name w:val="heading 2"/>
    <w:basedOn w:val="Normal"/>
    <w:next w:val="Normal"/>
    <w:link w:val="Heading2Char"/>
    <w:uiPriority w:val="99"/>
    <w:pPr>
      <w:keepNext/>
      <w:outlineLvl w:val="1"/>
    </w:pPr>
    <w:rPr>
      <w:b/>
      <w:bCs/>
      <w:i/>
      <w:iCs/>
    </w:rPr>
  </w:style>
  <w:style w:type="paragraph" w:styleId="Heading3">
    <w:name w:val="heading 3"/>
    <w:basedOn w:val="Normal"/>
    <w:next w:val="Normal"/>
    <w:link w:val="Heading3Char"/>
    <w:uiPriority w:val="99"/>
    <w:pPr>
      <w:keepNext/>
      <w:outlineLvl w:val="2"/>
    </w:pPr>
    <w:rPr>
      <w:i/>
      <w:iCs/>
    </w:rPr>
  </w:style>
  <w:style w:type="paragraph" w:styleId="Heading4">
    <w:name w:val="heading 4"/>
    <w:basedOn w:val="Normal"/>
    <w:next w:val="Normal"/>
    <w:link w:val="Heading4Char"/>
    <w:uiPriority w:val="99"/>
    <w:pPr>
      <w:keepNext/>
      <w:jc w:val="center"/>
      <w:outlineLvl w:val="3"/>
    </w:pPr>
    <w:rPr>
      <w:b/>
      <w:bCs/>
      <w:sz w:val="24"/>
      <w:szCs w:val="24"/>
    </w:rPr>
  </w:style>
  <w:style w:type="paragraph" w:styleId="Heading6">
    <w:name w:val="heading 6"/>
    <w:basedOn w:val="Normal"/>
    <w:next w:val="Normal"/>
    <w:link w:val="Heading6Char"/>
    <w:uiPriority w:val="99"/>
    <w:rsid w:val="0025507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libri" w:eastAsia="Times New Roman" w:hAnsi="Calibri" w:cs="Times New Roman"/>
      <w:b/>
      <w:bCs/>
      <w:kern w:val="32"/>
      <w:sz w:val="32"/>
      <w:lang w:val="en-GB" w:eastAsia="x-none"/>
    </w:rPr>
  </w:style>
  <w:style w:type="character" w:customStyle="1" w:styleId="Heading2Char">
    <w:name w:val="Heading 2 Char"/>
    <w:link w:val="Heading2"/>
    <w:uiPriority w:val="99"/>
    <w:semiHidden/>
    <w:locked/>
    <w:rPr>
      <w:rFonts w:ascii="Calibri" w:eastAsia="Times New Roman" w:hAnsi="Calibri" w:cs="Times New Roman"/>
      <w:b/>
      <w:bCs/>
      <w:i/>
      <w:iCs/>
      <w:sz w:val="28"/>
      <w:lang w:val="en-GB" w:eastAsia="x-none"/>
    </w:rPr>
  </w:style>
  <w:style w:type="character" w:customStyle="1" w:styleId="Heading3Char">
    <w:name w:val="Heading 3 Char"/>
    <w:link w:val="Heading3"/>
    <w:uiPriority w:val="99"/>
    <w:semiHidden/>
    <w:locked/>
    <w:rPr>
      <w:rFonts w:ascii="Calibri" w:eastAsia="Times New Roman" w:hAnsi="Calibri" w:cs="Times New Roman"/>
      <w:b/>
      <w:bCs/>
      <w:sz w:val="26"/>
      <w:lang w:val="en-GB" w:eastAsia="x-none"/>
    </w:rPr>
  </w:style>
  <w:style w:type="character" w:customStyle="1" w:styleId="Heading4Char">
    <w:name w:val="Heading 4 Char"/>
    <w:link w:val="Heading4"/>
    <w:uiPriority w:val="99"/>
    <w:semiHidden/>
    <w:locked/>
    <w:rPr>
      <w:rFonts w:ascii="Cambria" w:eastAsia="Times New Roman" w:hAnsi="Cambria" w:cs="Times New Roman"/>
      <w:b/>
      <w:bCs/>
      <w:sz w:val="28"/>
      <w:lang w:val="en-GB" w:eastAsia="x-none"/>
    </w:rPr>
  </w:style>
  <w:style w:type="character" w:customStyle="1" w:styleId="Heading6Char">
    <w:name w:val="Heading 6 Char"/>
    <w:link w:val="Heading6"/>
    <w:uiPriority w:val="99"/>
    <w:semiHidden/>
    <w:locked/>
    <w:rPr>
      <w:rFonts w:ascii="Cambria" w:eastAsia="Times New Roman" w:hAnsi="Cambria" w:cs="Times New Roman"/>
      <w:b/>
      <w:bCs/>
      <w:sz w:val="22"/>
      <w:lang w:val="en-GB" w:eastAsia="x-none"/>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locked/>
    <w:rPr>
      <w:rFonts w:cs="Times New Roman"/>
      <w:sz w:val="20"/>
      <w:lang w:val="en-GB" w:eastAsia="x-non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0"/>
      <w:lang w:val="en-GB" w:eastAsia="x-none"/>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cs="Times New Roman"/>
      <w:sz w:val="20"/>
      <w:lang w:val="en-GB" w:eastAsia="x-none"/>
    </w:rPr>
  </w:style>
  <w:style w:type="paragraph" w:customStyle="1" w:styleId="LBSHeading3">
    <w:name w:val="LBSHeading3"/>
    <w:basedOn w:val="Normal"/>
    <w:uiPriority w:val="99"/>
    <w:rsid w:val="002B3EF9"/>
    <w:pPr>
      <w:widowControl w:val="0"/>
    </w:pPr>
    <w:rPr>
      <w:rFonts w:ascii="FrnkGothITC Hv BT" w:hAnsi="FrnkGothITC Hv BT" w:cs="FrnkGothITC Hv BT"/>
    </w:rPr>
  </w:style>
  <w:style w:type="table" w:styleId="TableGrid">
    <w:name w:val="Table Grid"/>
    <w:basedOn w:val="TableNormal"/>
    <w:uiPriority w:val="59"/>
    <w:rsid w:val="008D1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D14AC"/>
    <w:rPr>
      <w:color w:val="605E5C"/>
      <w:shd w:val="clear" w:color="auto" w:fill="E1DFDD"/>
    </w:rPr>
  </w:style>
  <w:style w:type="paragraph" w:styleId="BalloonText">
    <w:name w:val="Balloon Text"/>
    <w:basedOn w:val="Normal"/>
    <w:link w:val="BalloonTextChar"/>
    <w:uiPriority w:val="99"/>
    <w:rsid w:val="00187290"/>
    <w:rPr>
      <w:rFonts w:ascii="Segoe UI" w:hAnsi="Segoe UI" w:cs="Segoe UI"/>
      <w:sz w:val="18"/>
      <w:szCs w:val="18"/>
    </w:rPr>
  </w:style>
  <w:style w:type="character" w:customStyle="1" w:styleId="BalloonTextChar">
    <w:name w:val="Balloon Text Char"/>
    <w:link w:val="BalloonText"/>
    <w:uiPriority w:val="99"/>
    <w:rsid w:val="00187290"/>
    <w:rPr>
      <w:rFonts w:ascii="Segoe UI" w:hAnsi="Segoe UI" w:cs="Segoe UI"/>
      <w:sz w:val="18"/>
      <w:szCs w:val="18"/>
      <w:lang w:eastAsia="en-US"/>
    </w:rPr>
  </w:style>
  <w:style w:type="paragraph" w:styleId="ListParagraph">
    <w:name w:val="List Paragraph"/>
    <w:basedOn w:val="Normal"/>
    <w:uiPriority w:val="34"/>
    <w:qFormat/>
    <w:rsid w:val="0017232B"/>
    <w:pPr>
      <w:numPr>
        <w:numId w:val="9"/>
      </w:num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latin@sarastov.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SONYA DILOVA</vt:lpstr>
    </vt:vector>
  </TitlesOfParts>
  <Company>Private</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SONYA DILOVA</dc:title>
  <dc:subject/>
  <dc:creator>Unknown</dc:creator>
  <cp:keywords/>
  <dc:description/>
  <cp:lastModifiedBy>zlatin.sarastov@unwe.bg</cp:lastModifiedBy>
  <cp:revision>2</cp:revision>
  <cp:lastPrinted>2019-10-06T19:37:00Z</cp:lastPrinted>
  <dcterms:created xsi:type="dcterms:W3CDTF">2024-01-05T18:23:00Z</dcterms:created>
  <dcterms:modified xsi:type="dcterms:W3CDTF">2024-01-05T18:23:00Z</dcterms:modified>
</cp:coreProperties>
</file>